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320"/>
      </w:tblGrid>
      <w:tr w:rsidR="00E81B00" w:rsidRPr="00B152FA" w:rsidTr="004835F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0320"/>
            </w:tblGrid>
            <w:tr w:rsidR="00E81B00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320"/>
                  </w:tblGrid>
                  <w:tr w:rsidR="00E81B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270F2" w:rsidRPr="00762A4E" w:rsidRDefault="00E270F2">
                        <w:pPr>
                          <w:rPr>
                            <w:b/>
                          </w:rPr>
                        </w:pPr>
                      </w:p>
                      <w:p w:rsidR="00E270F2" w:rsidRDefault="00E270F2"/>
                      <w:p w:rsidR="0006664D" w:rsidRDefault="001C3956" w:rsidP="00196762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524625" cy="1781175"/>
                              <wp:effectExtent l="19050" t="0" r="9525" b="0"/>
                              <wp:docPr id="1" name="Picture 0" descr="IPOC-5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POC-5.JP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524625" cy="17811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9798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798"/>
                        </w:tblGrid>
                        <w:tr w:rsidR="00E81B00" w:rsidTr="000352CF">
                          <w:trPr>
                            <w:tblCellSpacing w:w="0" w:type="dxa"/>
                          </w:trPr>
                          <w:tc>
                            <w:tcPr>
                              <w:tcW w:w="9798" w:type="dxa"/>
                              <w:hideMark/>
                            </w:tcPr>
                            <w:p w:rsidR="001C3956" w:rsidRDefault="00196762" w:rsidP="00196762">
                              <w:pPr>
                                <w:pStyle w:val="NormalWeb"/>
                                <w:jc w:val="center"/>
                                <w:rPr>
                                  <w:rFonts w:ascii="Verdana" w:hAnsi="Verdana"/>
                                  <w:color w:val="333333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333333"/>
                                </w:rPr>
                                <w:t xml:space="preserve">   </w:t>
                              </w:r>
                            </w:p>
                            <w:p w:rsidR="00196762" w:rsidRDefault="00196762" w:rsidP="00196762">
                              <w:pPr>
                                <w:pStyle w:val="NormalWeb"/>
                                <w:jc w:val="center"/>
                                <w:rPr>
                                  <w:rFonts w:ascii="Verdana" w:hAnsi="Verdana"/>
                                  <w:color w:val="333333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333333"/>
                                </w:rPr>
                                <w:t xml:space="preserve">  </w:t>
                              </w:r>
                              <w:r>
                                <w:rPr>
                                  <w:rFonts w:ascii="Verdana" w:hAnsi="Verdana"/>
                                  <w:noProof/>
                                  <w:color w:val="333333"/>
                                </w:rPr>
                                <w:drawing>
                                  <wp:inline distT="0" distB="0" distL="0" distR="0">
                                    <wp:extent cx="5762625" cy="523875"/>
                                    <wp:effectExtent l="19050" t="0" r="9525" b="0"/>
                                    <wp:docPr id="3" name="Picture 2" descr="Inspiring and Enabling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nspiring and Enabling.JPG"/>
                                            <pic:cNvPicPr/>
                                          </pic:nvPicPr>
                                          <pic:blipFill>
                                            <a:blip r:embed="rId7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762625" cy="523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5186A" w:rsidRPr="00332490" w:rsidRDefault="0029103D" w:rsidP="00327414">
                              <w:pPr>
                                <w:pStyle w:val="NormalWeb"/>
                                <w:jc w:val="both"/>
                                <w:rPr>
                                  <w:rFonts w:ascii="Verdana" w:hAnsi="Verdana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333333"/>
                                </w:rPr>
                                <w:t>The</w:t>
                              </w:r>
                              <w:r w:rsidR="00E2493C" w:rsidRPr="00332490">
                                <w:rPr>
                                  <w:rFonts w:ascii="Verdana" w:hAnsi="Verdana"/>
                                  <w:color w:val="333333"/>
                                </w:rPr>
                                <w:t xml:space="preserve"> </w:t>
                              </w:r>
                              <w:r w:rsidR="00FD19F7" w:rsidRPr="00332490">
                                <w:rPr>
                                  <w:rFonts w:ascii="Verdana" w:hAnsi="Verdana"/>
                                  <w:color w:val="333333"/>
                                </w:rPr>
                                <w:t>202</w:t>
                              </w:r>
                              <w:r w:rsidR="001B215C" w:rsidRPr="00332490">
                                <w:rPr>
                                  <w:rFonts w:ascii="Verdana" w:hAnsi="Verdana"/>
                                  <w:color w:val="333333"/>
                                </w:rPr>
                                <w:t>5</w:t>
                              </w:r>
                              <w:r w:rsidR="00FD19F7" w:rsidRPr="00332490">
                                <w:rPr>
                                  <w:rFonts w:ascii="Verdana" w:hAnsi="Verdana"/>
                                  <w:color w:val="333333"/>
                                </w:rPr>
                                <w:t xml:space="preserve"> SPE International </w:t>
                              </w:r>
                              <w:proofErr w:type="spellStart"/>
                              <w:r w:rsidR="00FD19F7" w:rsidRPr="00332490">
                                <w:rPr>
                                  <w:rFonts w:ascii="Verdana" w:hAnsi="Verdana"/>
                                  <w:color w:val="333333"/>
                                </w:rPr>
                                <w:t>Polyolefins</w:t>
                              </w:r>
                              <w:proofErr w:type="spellEnd"/>
                              <w:r w:rsidR="00FD19F7" w:rsidRPr="00332490">
                                <w:rPr>
                                  <w:rFonts w:ascii="Verdana" w:hAnsi="Verdana"/>
                                  <w:color w:val="333333"/>
                                </w:rPr>
                                <w:t xml:space="preserve"> Conference </w:t>
                              </w:r>
                              <w:r>
                                <w:rPr>
                                  <w:rFonts w:ascii="Verdana" w:hAnsi="Verdana"/>
                                  <w:color w:val="333333"/>
                                </w:rPr>
                                <w:t>will be on</w:t>
                              </w:r>
                              <w:r w:rsidR="00FD19F7" w:rsidRPr="00332490">
                                <w:rPr>
                                  <w:rFonts w:ascii="Verdana" w:hAnsi="Verdana"/>
                                  <w:color w:val="333333"/>
                                </w:rPr>
                                <w:t xml:space="preserve"> </w:t>
                              </w:r>
                              <w:r w:rsidR="00FD19F7" w:rsidRPr="002072F3">
                                <w:rPr>
                                  <w:rFonts w:ascii="Verdana" w:hAnsi="Verdana"/>
                                  <w:b/>
                                  <w:color w:val="333333"/>
                                </w:rPr>
                                <w:t xml:space="preserve">February </w:t>
                              </w:r>
                              <w:r w:rsidR="001B215C" w:rsidRPr="002072F3">
                                <w:rPr>
                                  <w:rFonts w:ascii="Verdana" w:hAnsi="Verdana"/>
                                  <w:b/>
                                  <w:color w:val="333333"/>
                                </w:rPr>
                                <w:t>16-</w:t>
                              </w:r>
                              <w:r w:rsidR="000A3B88" w:rsidRPr="002072F3">
                                <w:rPr>
                                  <w:rFonts w:ascii="Verdana" w:hAnsi="Verdana"/>
                                  <w:b/>
                                  <w:color w:val="333333"/>
                                </w:rPr>
                                <w:t>19</w:t>
                              </w:r>
                              <w:r w:rsidR="00FD19F7" w:rsidRPr="002072F3">
                                <w:rPr>
                                  <w:rFonts w:ascii="Verdana" w:hAnsi="Verdana"/>
                                  <w:b/>
                                  <w:color w:val="333333"/>
                                </w:rPr>
                                <w:t>, 202</w:t>
                              </w:r>
                              <w:r w:rsidR="001B215C" w:rsidRPr="002072F3">
                                <w:rPr>
                                  <w:rFonts w:ascii="Verdana" w:hAnsi="Verdana"/>
                                  <w:b/>
                                  <w:color w:val="333333"/>
                                </w:rPr>
                                <w:t>5</w:t>
                              </w:r>
                              <w:r w:rsidR="00FD19F7" w:rsidRPr="002072F3">
                                <w:rPr>
                                  <w:rFonts w:ascii="Verdana" w:hAnsi="Verdana"/>
                                  <w:b/>
                                  <w:color w:val="333333"/>
                                </w:rPr>
                                <w:t xml:space="preserve"> </w:t>
                              </w:r>
                              <w:r w:rsidR="00545671" w:rsidRPr="002072F3">
                                <w:rPr>
                                  <w:rFonts w:ascii="Verdana" w:hAnsi="Verdana"/>
                                  <w:b/>
                                  <w:color w:val="333333"/>
                                </w:rPr>
                                <w:t xml:space="preserve">at the </w:t>
                              </w:r>
                              <w:hyperlink r:id="rId8" w:history="1">
                                <w:r w:rsidR="00FD19F7" w:rsidRPr="002072F3">
                                  <w:rPr>
                                    <w:rStyle w:val="Hyperlink"/>
                                    <w:rFonts w:ascii="Verdana" w:hAnsi="Verdana"/>
                                    <w:b/>
                                  </w:rPr>
                                  <w:t>Galveston</w:t>
                                </w:r>
                                <w:r w:rsidR="0075396A" w:rsidRPr="002072F3">
                                  <w:rPr>
                                    <w:rStyle w:val="Hyperlink"/>
                                    <w:rFonts w:ascii="Verdana" w:hAnsi="Verdana"/>
                                    <w:b/>
                                  </w:rPr>
                                  <w:t xml:space="preserve"> Island Convention Center</w:t>
                                </w:r>
                              </w:hyperlink>
                              <w:r w:rsidR="0075396A" w:rsidRPr="002072F3">
                                <w:rPr>
                                  <w:rFonts w:ascii="Verdana" w:hAnsi="Verdana"/>
                                  <w:b/>
                                  <w:color w:val="333333"/>
                                </w:rPr>
                                <w:t xml:space="preserve"> in Texas</w:t>
                              </w:r>
                              <w:r w:rsidR="00E2493C" w:rsidRPr="00332490">
                                <w:rPr>
                                  <w:rFonts w:ascii="Verdana" w:hAnsi="Verdana"/>
                                  <w:color w:val="333333"/>
                                </w:rPr>
                                <w:t xml:space="preserve">.  </w:t>
                              </w:r>
                            </w:p>
                            <w:p w:rsidR="00C5186A" w:rsidRDefault="00C5186A" w:rsidP="00C5186A">
                              <w:pPr>
                                <w:pStyle w:val="NormalWeb"/>
                                <w:jc w:val="center"/>
                                <w:rPr>
                                  <w:rFonts w:ascii="Verdana" w:hAnsi="Verdana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noProof/>
                                  <w:color w:val="333333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3267075" cy="1509207"/>
                                    <wp:effectExtent l="19050" t="0" r="9525" b="0"/>
                                    <wp:docPr id="5" name="Picture 4" descr="Galveston-3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Galveston-3.jpg"/>
                                            <pic:cNvPicPr/>
                                          </pic:nvPicPr>
                                          <pic:blipFill>
                                            <a:blip r:embed="rId9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267075" cy="150920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27414" w:rsidRDefault="00E81B00" w:rsidP="009B42C9">
                              <w:pPr>
                                <w:pStyle w:val="NormalWeb"/>
                                <w:jc w:val="both"/>
                                <w:rPr>
                                  <w:rFonts w:ascii="Verdana" w:hAnsi="Verdana"/>
                                  <w:color w:val="333333"/>
                                </w:rPr>
                              </w:pPr>
                              <w:r w:rsidRPr="00794D71">
                                <w:rPr>
                                  <w:rFonts w:ascii="Verdana" w:hAnsi="Verdana"/>
                                  <w:color w:val="333333"/>
                                </w:rPr>
                                <w:t>The SPE South Texas Section</w:t>
                              </w:r>
                              <w:r w:rsidR="00FD19F7" w:rsidRPr="00794D71">
                                <w:rPr>
                                  <w:rFonts w:ascii="Verdana" w:hAnsi="Verdana"/>
                                  <w:color w:val="333333"/>
                                </w:rPr>
                                <w:t xml:space="preserve"> in collaboration with </w:t>
                              </w:r>
                              <w:r w:rsidRPr="00794D71">
                                <w:rPr>
                                  <w:rFonts w:ascii="Verdana" w:hAnsi="Verdana"/>
                                  <w:color w:val="333333"/>
                                </w:rPr>
                                <w:t xml:space="preserve">the </w:t>
                              </w:r>
                              <w:r w:rsidR="0006664D" w:rsidRPr="00794D71">
                                <w:rPr>
                                  <w:rFonts w:ascii="Verdana" w:hAnsi="Verdana"/>
                                  <w:color w:val="333333"/>
                                </w:rPr>
                                <w:t xml:space="preserve">SPE </w:t>
                              </w:r>
                              <w:r w:rsidRPr="00794D71">
                                <w:rPr>
                                  <w:rFonts w:ascii="Verdana" w:hAnsi="Verdana"/>
                                  <w:color w:val="333333"/>
                                </w:rPr>
                                <w:t>Polymer Modifiers and Additives Division</w:t>
                              </w:r>
                              <w:r w:rsidR="0006664D" w:rsidRPr="00794D71">
                                <w:rPr>
                                  <w:rFonts w:ascii="Verdana" w:hAnsi="Verdana"/>
                                  <w:color w:val="333333"/>
                                </w:rPr>
                                <w:t>,</w:t>
                              </w:r>
                              <w:r w:rsidRPr="00794D71">
                                <w:rPr>
                                  <w:rFonts w:ascii="Verdana" w:hAnsi="Verdana"/>
                                  <w:color w:val="333333"/>
                                </w:rPr>
                                <w:t xml:space="preserve"> </w:t>
                              </w:r>
                              <w:r w:rsidR="002E535F" w:rsidRPr="00794D71">
                                <w:rPr>
                                  <w:rFonts w:ascii="Verdana" w:hAnsi="Verdana"/>
                                  <w:color w:val="333333"/>
                                </w:rPr>
                                <w:t>t</w:t>
                              </w:r>
                              <w:r w:rsidRPr="00794D71">
                                <w:rPr>
                                  <w:rFonts w:ascii="Verdana" w:hAnsi="Verdana"/>
                                  <w:color w:val="333333"/>
                                </w:rPr>
                                <w:t>he Thermoplastic Materials and Foams Division</w:t>
                              </w:r>
                              <w:r w:rsidR="002E535F" w:rsidRPr="00794D71">
                                <w:rPr>
                                  <w:rFonts w:ascii="Verdana" w:hAnsi="Verdana"/>
                                  <w:color w:val="333333"/>
                                </w:rPr>
                                <w:t>,</w:t>
                              </w:r>
                              <w:r w:rsidR="00E15F49" w:rsidRPr="00794D71">
                                <w:rPr>
                                  <w:rFonts w:ascii="Verdana" w:hAnsi="Verdana"/>
                                  <w:color w:val="333333"/>
                                </w:rPr>
                                <w:t xml:space="preserve"> </w:t>
                              </w:r>
                              <w:r w:rsidR="00175A91" w:rsidRPr="00794D71">
                                <w:rPr>
                                  <w:rFonts w:ascii="Verdana" w:hAnsi="Verdana"/>
                                  <w:color w:val="333333"/>
                                </w:rPr>
                                <w:t xml:space="preserve">the </w:t>
                              </w:r>
                              <w:r w:rsidR="00B63CE9" w:rsidRPr="00794D71">
                                <w:rPr>
                                  <w:rFonts w:ascii="Verdana" w:hAnsi="Verdana"/>
                                  <w:color w:val="333333"/>
                                </w:rPr>
                                <w:t>Engineering Properties and Structur</w:t>
                              </w:r>
                              <w:r w:rsidR="00B77835" w:rsidRPr="00794D71">
                                <w:rPr>
                                  <w:rFonts w:ascii="Verdana" w:hAnsi="Verdana"/>
                                  <w:color w:val="333333"/>
                                </w:rPr>
                                <w:t>es</w:t>
                              </w:r>
                              <w:r w:rsidR="009F3518" w:rsidRPr="00794D71">
                                <w:rPr>
                                  <w:rFonts w:ascii="Verdana" w:hAnsi="Verdana"/>
                                  <w:color w:val="333333"/>
                                </w:rPr>
                                <w:t xml:space="preserve"> Division, </w:t>
                              </w:r>
                              <w:r w:rsidR="00C97E11" w:rsidRPr="00794D71">
                                <w:rPr>
                                  <w:rFonts w:ascii="Verdana" w:hAnsi="Verdana"/>
                                  <w:color w:val="333333"/>
                                </w:rPr>
                                <w:t xml:space="preserve">the </w:t>
                              </w:r>
                              <w:r w:rsidR="009F3518" w:rsidRPr="00794D71">
                                <w:rPr>
                                  <w:rFonts w:ascii="Verdana" w:hAnsi="Verdana"/>
                                  <w:color w:val="333333"/>
                                </w:rPr>
                                <w:t>Building and Infrastructure Division,</w:t>
                              </w:r>
                              <w:r w:rsidR="005D7B46" w:rsidRPr="00794D71">
                                <w:rPr>
                                  <w:rFonts w:ascii="Verdana" w:hAnsi="Verdana"/>
                                  <w:color w:val="333333"/>
                                </w:rPr>
                                <w:t xml:space="preserve"> the Applied </w:t>
                              </w:r>
                              <w:proofErr w:type="spellStart"/>
                              <w:r w:rsidR="005D7B46" w:rsidRPr="00794D71">
                                <w:rPr>
                                  <w:rFonts w:ascii="Verdana" w:hAnsi="Verdana"/>
                                  <w:color w:val="333333"/>
                                </w:rPr>
                                <w:t>Rheol</w:t>
                              </w:r>
                              <w:r w:rsidR="005F2644" w:rsidRPr="00794D71">
                                <w:rPr>
                                  <w:rFonts w:ascii="Verdana" w:hAnsi="Verdana"/>
                                  <w:color w:val="333333"/>
                                </w:rPr>
                                <w:t>ogy</w:t>
                              </w:r>
                              <w:proofErr w:type="spellEnd"/>
                              <w:r w:rsidR="005F2644" w:rsidRPr="00794D71">
                                <w:rPr>
                                  <w:rFonts w:ascii="Verdana" w:hAnsi="Verdana"/>
                                  <w:color w:val="333333"/>
                                </w:rPr>
                                <w:t xml:space="preserve"> Division,</w:t>
                              </w:r>
                              <w:r w:rsidR="00B63CE9" w:rsidRPr="00794D71">
                                <w:rPr>
                                  <w:rFonts w:ascii="Verdana" w:hAnsi="Verdana"/>
                                  <w:color w:val="333333"/>
                                </w:rPr>
                                <w:t xml:space="preserve"> </w:t>
                              </w:r>
                              <w:r w:rsidR="00E15F49" w:rsidRPr="00794D71">
                                <w:rPr>
                                  <w:rFonts w:ascii="Verdana" w:hAnsi="Verdana"/>
                                  <w:color w:val="333333"/>
                                </w:rPr>
                                <w:t>and</w:t>
                              </w:r>
                              <w:r w:rsidR="002E535F" w:rsidRPr="00794D71">
                                <w:rPr>
                                  <w:rFonts w:ascii="Verdana" w:hAnsi="Verdana"/>
                                  <w:color w:val="333333"/>
                                </w:rPr>
                                <w:t xml:space="preserve"> the Flexible Packaging Division</w:t>
                              </w:r>
                              <w:r w:rsidR="00C36C43" w:rsidRPr="00794D71">
                                <w:rPr>
                                  <w:rFonts w:ascii="Verdana" w:hAnsi="Verdana"/>
                                  <w:color w:val="333333"/>
                                </w:rPr>
                                <w:t xml:space="preserve"> </w:t>
                              </w:r>
                              <w:r w:rsidR="00E35021" w:rsidRPr="00794D71">
                                <w:rPr>
                                  <w:rFonts w:ascii="Verdana" w:hAnsi="Verdana"/>
                                  <w:color w:val="333333"/>
                                </w:rPr>
                                <w:t xml:space="preserve">are </w:t>
                              </w:r>
                              <w:r w:rsidR="00E2493C" w:rsidRPr="00794D71">
                                <w:rPr>
                                  <w:rFonts w:ascii="Verdana" w:hAnsi="Verdana"/>
                                  <w:color w:val="333333"/>
                                </w:rPr>
                                <w:t>organizing</w:t>
                              </w:r>
                              <w:r w:rsidR="00C82566" w:rsidRPr="00794D71">
                                <w:rPr>
                                  <w:rFonts w:ascii="Verdana" w:hAnsi="Verdana"/>
                                  <w:color w:val="333333"/>
                                </w:rPr>
                                <w:t xml:space="preserve"> the program</w:t>
                              </w:r>
                              <w:r w:rsidR="00E2493C" w:rsidRPr="00794D71">
                                <w:rPr>
                                  <w:rFonts w:ascii="Verdana" w:hAnsi="Verdana"/>
                                  <w:color w:val="333333"/>
                                </w:rPr>
                                <w:t xml:space="preserve"> </w:t>
                              </w:r>
                              <w:r w:rsidR="00C82566" w:rsidRPr="00794D71">
                                <w:rPr>
                                  <w:rFonts w:ascii="Verdana" w:hAnsi="Verdana"/>
                                  <w:color w:val="333333"/>
                                </w:rPr>
                                <w:t xml:space="preserve">to </w:t>
                              </w:r>
                              <w:r w:rsidR="00C82566" w:rsidRPr="00794D71">
                                <w:rPr>
                                  <w:rFonts w:ascii="Verdana" w:hAnsi="Verdana"/>
                                  <w:b/>
                                  <w:color w:val="333333"/>
                                </w:rPr>
                                <w:t>celebrate</w:t>
                              </w:r>
                              <w:r w:rsidR="00E2493C" w:rsidRPr="00794D71">
                                <w:rPr>
                                  <w:rFonts w:ascii="Verdana" w:hAnsi="Verdana"/>
                                  <w:b/>
                                  <w:color w:val="333333"/>
                                </w:rPr>
                                <w:t xml:space="preserve"> </w:t>
                              </w:r>
                              <w:r w:rsidR="009B42C9" w:rsidRPr="00794D71">
                                <w:rPr>
                                  <w:rFonts w:ascii="Verdana" w:hAnsi="Verdana"/>
                                  <w:b/>
                                  <w:color w:val="333333"/>
                                </w:rPr>
                                <w:t>the</w:t>
                              </w:r>
                              <w:r w:rsidR="00E2493C" w:rsidRPr="00794D71">
                                <w:rPr>
                                  <w:rFonts w:ascii="Verdana" w:hAnsi="Verdana"/>
                                  <w:b/>
                                  <w:color w:val="333333"/>
                                </w:rPr>
                                <w:t xml:space="preserve"> 50</w:t>
                              </w:r>
                              <w:r w:rsidR="00E2493C" w:rsidRPr="00794D71">
                                <w:rPr>
                                  <w:rFonts w:ascii="Verdana" w:hAnsi="Verdana"/>
                                  <w:b/>
                                  <w:color w:val="333333"/>
                                  <w:vertAlign w:val="superscript"/>
                                </w:rPr>
                                <w:t>th</w:t>
                              </w:r>
                              <w:r w:rsidR="00E2493C" w:rsidRPr="00794D71">
                                <w:rPr>
                                  <w:rFonts w:ascii="Verdana" w:hAnsi="Verdana"/>
                                  <w:b/>
                                  <w:color w:val="333333"/>
                                </w:rPr>
                                <w:t xml:space="preserve"> year </w:t>
                              </w:r>
                              <w:r w:rsidR="009B42C9" w:rsidRPr="00794D71">
                                <w:rPr>
                                  <w:rFonts w:ascii="Verdana" w:hAnsi="Verdana"/>
                                  <w:b/>
                                  <w:color w:val="333333"/>
                                </w:rPr>
                                <w:t>of</w:t>
                              </w:r>
                              <w:r w:rsidR="00E2493C" w:rsidRPr="00794D71">
                                <w:rPr>
                                  <w:rFonts w:ascii="Verdana" w:hAnsi="Verdana"/>
                                  <w:b/>
                                  <w:color w:val="333333"/>
                                </w:rPr>
                                <w:t xml:space="preserve"> the conference</w:t>
                              </w:r>
                              <w:r w:rsidR="00E2493C" w:rsidRPr="00794D71">
                                <w:rPr>
                                  <w:rFonts w:ascii="Verdana" w:hAnsi="Verdana"/>
                                  <w:color w:val="333333"/>
                                </w:rPr>
                                <w:t>.</w:t>
                              </w:r>
                              <w:r w:rsidR="00327414" w:rsidRPr="00794D71">
                                <w:rPr>
                                  <w:rFonts w:ascii="Verdana" w:hAnsi="Verdana"/>
                                  <w:color w:val="333333"/>
                                </w:rPr>
                                <w:t>  </w:t>
                              </w:r>
                              <w:r w:rsidR="001526B3" w:rsidRPr="00794D71">
                                <w:rPr>
                                  <w:rFonts w:ascii="Verdana" w:hAnsi="Verdana"/>
                                  <w:color w:val="333333"/>
                                </w:rPr>
                                <w:t xml:space="preserve">The </w:t>
                              </w:r>
                              <w:r w:rsidR="009B42C9" w:rsidRPr="00794D71">
                                <w:rPr>
                                  <w:rFonts w:ascii="Verdana" w:hAnsi="Verdana"/>
                                  <w:color w:val="333333"/>
                                </w:rPr>
                                <w:t>Galveston</w:t>
                              </w:r>
                              <w:r w:rsidR="001526B3" w:rsidRPr="00794D71">
                                <w:rPr>
                                  <w:rFonts w:ascii="Verdana" w:hAnsi="Verdana"/>
                                  <w:color w:val="333333"/>
                                </w:rPr>
                                <w:t xml:space="preserve"> Island Convention Center</w:t>
                              </w:r>
                              <w:r w:rsidR="009B42C9" w:rsidRPr="00794D71">
                                <w:rPr>
                                  <w:rFonts w:ascii="Verdana" w:hAnsi="Verdana"/>
                                  <w:color w:val="333333"/>
                                </w:rPr>
                                <w:t xml:space="preserve"> </w:t>
                              </w:r>
                              <w:r w:rsidR="00C82566" w:rsidRPr="00794D71">
                                <w:rPr>
                                  <w:rFonts w:ascii="Verdana" w:hAnsi="Verdana"/>
                                  <w:color w:val="333333"/>
                                </w:rPr>
                                <w:t>overlooks</w:t>
                              </w:r>
                              <w:r w:rsidR="009B42C9" w:rsidRPr="00794D71">
                                <w:rPr>
                                  <w:rFonts w:ascii="Verdana" w:hAnsi="Verdana"/>
                                  <w:color w:val="333333"/>
                                </w:rPr>
                                <w:t xml:space="preserve"> the beach</w:t>
                              </w:r>
                              <w:r w:rsidR="00C82566" w:rsidRPr="00794D71">
                                <w:rPr>
                                  <w:rFonts w:ascii="Verdana" w:hAnsi="Verdana"/>
                                  <w:color w:val="333333"/>
                                </w:rPr>
                                <w:t xml:space="preserve"> and</w:t>
                              </w:r>
                              <w:r w:rsidR="009B42C9" w:rsidRPr="00794D71">
                                <w:rPr>
                                  <w:rFonts w:ascii="Verdana" w:hAnsi="Verdana"/>
                                  <w:color w:val="333333"/>
                                </w:rPr>
                                <w:t xml:space="preserve"> is a great place to be in February so join us.</w:t>
                              </w:r>
                            </w:p>
                            <w:p w:rsidR="001C3956" w:rsidRPr="00794D71" w:rsidRDefault="001C3956" w:rsidP="001C3956">
                              <w:pPr>
                                <w:pStyle w:val="NormalWeb"/>
                                <w:jc w:val="center"/>
                                <w:rPr>
                                  <w:rFonts w:ascii="Verdana" w:hAnsi="Verdana"/>
                                  <w:color w:val="333333"/>
                                </w:rPr>
                              </w:pPr>
                              <w:r>
                                <w:rPr>
                                  <w:rFonts w:ascii="Verdana" w:hAnsi="Verdana"/>
                                  <w:noProof/>
                                  <w:color w:val="333333"/>
                                </w:rPr>
                                <w:drawing>
                                  <wp:inline distT="0" distB="0" distL="0" distR="0">
                                    <wp:extent cx="5715000" cy="352425"/>
                                    <wp:effectExtent l="19050" t="0" r="0" b="0"/>
                                    <wp:docPr id="4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352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94D71" w:rsidRPr="001C3956" w:rsidRDefault="00794D71" w:rsidP="00794D71">
                              <w:pPr>
                                <w:pStyle w:val="NormalWeb"/>
                                <w:jc w:val="center"/>
                                <w:rPr>
                                  <w:rFonts w:ascii="Verdana" w:hAnsi="Verdan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 w:rsidRPr="001C3956">
                                <w:rPr>
                                  <w:rFonts w:ascii="Verdana" w:hAnsi="Verdan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 xml:space="preserve">The Largest Polymer Conference in the World Dedicated to </w:t>
                              </w:r>
                              <w:proofErr w:type="spellStart"/>
                              <w:r w:rsidRPr="001C3956">
                                <w:rPr>
                                  <w:rFonts w:ascii="Verdana" w:hAnsi="Verdan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  <w:t>Polyolefins</w:t>
                              </w:r>
                              <w:proofErr w:type="spellEnd"/>
                            </w:p>
                            <w:p w:rsidR="001C3956" w:rsidRDefault="001C3956" w:rsidP="00794D71">
                              <w:pPr>
                                <w:pStyle w:val="NormalWeb"/>
                                <w:jc w:val="center"/>
                                <w:rPr>
                                  <w:rFonts w:ascii="Verdana" w:hAnsi="Verdan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noProof/>
                                  <w:color w:val="333333"/>
                                  <w:sz w:val="28"/>
                                  <w:szCs w:val="28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2562225" cy="1448848"/>
                                    <wp:effectExtent l="19050" t="0" r="9525" b="0"/>
                                    <wp:docPr id="7" name="Picture 6" descr="video.JPG">
                                      <a:hlinkClick xmlns:a="http://schemas.openxmlformats.org/drawingml/2006/main" r:id="rId1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video.JPG"/>
                                            <pic:cNvPicPr/>
                                          </pic:nvPicPr>
                                          <pic:blipFill>
                                            <a:blip r:embed="rId12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562225" cy="14488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C3956" w:rsidRPr="00794D71" w:rsidRDefault="001C3956" w:rsidP="001C3956">
                              <w:pPr>
                                <w:pStyle w:val="NormalWeb"/>
                                <w:jc w:val="center"/>
                                <w:rPr>
                                  <w:rFonts w:ascii="Verdana" w:hAnsi="Verdana"/>
                                  <w:b/>
                                  <w:color w:val="3333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noProof/>
                                  <w:color w:val="333333"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>
                                    <wp:extent cx="5800725" cy="352425"/>
                                    <wp:effectExtent l="19050" t="0" r="9525" b="0"/>
                                    <wp:docPr id="6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00725" cy="352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62A4E" w:rsidRDefault="00A71C05" w:rsidP="006F6A0A">
                              <w:pPr>
                                <w:pStyle w:val="yiv1748895135msonormal"/>
                                <w:shd w:val="clear" w:color="auto" w:fill="FFFFFF"/>
                                <w:jc w:val="both"/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</w:pPr>
                              <w:r w:rsidRPr="00794D71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 xml:space="preserve">The </w:t>
                              </w:r>
                              <w:r w:rsidR="009B42C9" w:rsidRPr="00794D71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>conference</w:t>
                              </w:r>
                              <w:r w:rsidRPr="00794D71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 xml:space="preserve"> will include a Sunday afternoon tutorial. </w:t>
                              </w:r>
                              <w:r w:rsidR="00E06782" w:rsidRPr="00794D71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 xml:space="preserve">Starting Monday </w:t>
                              </w:r>
                              <w:r w:rsidR="00317F79" w:rsidRPr="00794D71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>t</w:t>
                              </w:r>
                              <w:r w:rsidRPr="00794D71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 xml:space="preserve">here will be </w:t>
                              </w:r>
                              <w:r w:rsidR="00090B1B" w:rsidRPr="00794D71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>1</w:t>
                              </w:r>
                              <w:r w:rsidR="000D2F6C" w:rsidRPr="00794D71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>3</w:t>
                              </w:r>
                              <w:r w:rsidR="00090B1B" w:rsidRPr="00794D71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>0+</w:t>
                              </w:r>
                              <w:r w:rsidRPr="00794D71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 xml:space="preserve"> technical presentations</w:t>
                              </w:r>
                              <w:r w:rsidR="00317F79" w:rsidRPr="00794D71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>, keynote speakers every day,</w:t>
                              </w:r>
                              <w:r w:rsidRPr="00794D71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 xml:space="preserve"> and an exhibition hall of over 60 industry suppliers, ranging from equipment, compounding, additives, and more.</w:t>
                              </w:r>
                              <w:r w:rsidR="009B42C9" w:rsidRPr="00794D71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 xml:space="preserve">  </w:t>
                              </w:r>
                              <w:r w:rsidR="001526B3" w:rsidRPr="00794D71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>There will be two networking socials to celebrate the 50</w:t>
                              </w:r>
                              <w:r w:rsidR="001526B3" w:rsidRPr="00794D71">
                                <w:rPr>
                                  <w:rFonts w:ascii="Verdana" w:eastAsiaTheme="minorHAnsi" w:hAnsi="Verdana"/>
                                  <w:color w:val="333333"/>
                                  <w:vertAlign w:val="superscript"/>
                                </w:rPr>
                                <w:t>th</w:t>
                              </w:r>
                              <w:r w:rsidR="001526B3" w:rsidRPr="00794D71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 xml:space="preserve"> year and to meet people.  </w:t>
                              </w:r>
                              <w:r w:rsidR="009B42C9" w:rsidRPr="00794D71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>Come and help judge the student poster competition.</w:t>
                              </w:r>
                              <w:r w:rsidR="00320B1C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 xml:space="preserve">  On Wednesday there will be a special session to </w:t>
                              </w:r>
                              <w:r w:rsidR="00DB5FA3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>commemorate</w:t>
                              </w:r>
                              <w:r w:rsidR="00320B1C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 xml:space="preserve"> the 50th year of the conference.</w:t>
                              </w:r>
                              <w:r w:rsidRPr="00794D71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> </w:t>
                              </w:r>
                              <w:r w:rsidR="00B55196" w:rsidRPr="00794D71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 xml:space="preserve">  </w:t>
                              </w:r>
                              <w:r w:rsidR="0087730E" w:rsidRPr="00794D71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 xml:space="preserve">More than 900 people are expected to attend the conference. </w:t>
                              </w:r>
                            </w:p>
                            <w:p w:rsidR="006F6A0A" w:rsidRPr="00794D71" w:rsidRDefault="0029103D" w:rsidP="006F6A0A">
                              <w:pPr>
                                <w:pStyle w:val="yiv1748895135msonormal"/>
                                <w:shd w:val="clear" w:color="auto" w:fill="FFFFFF"/>
                                <w:jc w:val="both"/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</w:pPr>
                              <w:r w:rsidRPr="00794D71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>The Conference will have a powerful software platform that will allow you to see the program, speakers, student posters, and virtual exhibitor</w:t>
                              </w:r>
                              <w:r w:rsidR="00E16174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 xml:space="preserve"> and sponsor</w:t>
                              </w:r>
                              <w:r w:rsidRPr="00794D71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 xml:space="preserve"> booths on your mobile device</w:t>
                              </w:r>
                              <w:r w:rsidR="001C3956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 xml:space="preserve"> or </w:t>
                              </w:r>
                              <w:r w:rsidRPr="00794D71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 xml:space="preserve">computer. </w:t>
                              </w:r>
                              <w:r w:rsidR="000352CF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 xml:space="preserve"> </w:t>
                              </w:r>
                              <w:r w:rsidR="004A3BCE" w:rsidRPr="00794D71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>A</w:t>
                              </w:r>
                              <w:r w:rsidRPr="00794D71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>ll</w:t>
                              </w:r>
                              <w:r w:rsidR="006976BB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 xml:space="preserve"> of</w:t>
                              </w:r>
                              <w:r w:rsidRPr="00794D71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 xml:space="preserve"> the papers</w:t>
                              </w:r>
                              <w:r w:rsidR="004A3BCE" w:rsidRPr="00794D71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 xml:space="preserve"> can be accessed</w:t>
                              </w:r>
                              <w:r w:rsidRPr="00794D71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 xml:space="preserve"> during the conference and up to 6 months after the conference. </w:t>
                              </w:r>
                              <w:r w:rsidR="0087730E" w:rsidRPr="00794D71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 xml:space="preserve"> </w:t>
                              </w:r>
                              <w:r w:rsidRPr="00794D71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>Attendees can also contact speakers and other attendees during the conference through the software platform.</w:t>
                              </w:r>
                              <w:r w:rsidR="00B8415E" w:rsidRPr="00794D71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 xml:space="preserve">  </w:t>
                              </w:r>
                              <w:r w:rsidR="007362B0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 xml:space="preserve">For virtual attendees, all the keynote speakers and a special session on Wednesday commemorating 50 years will be </w:t>
                              </w:r>
                              <w:r w:rsidR="007362B0" w:rsidRPr="007362B0">
                                <w:rPr>
                                  <w:rFonts w:ascii="Verdana" w:eastAsiaTheme="minorHAnsi" w:hAnsi="Verdana"/>
                                  <w:b/>
                                  <w:color w:val="333333"/>
                                </w:rPr>
                                <w:t>LIVE STREAMED</w:t>
                              </w:r>
                              <w:r w:rsidR="007362B0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 xml:space="preserve"> on the software platform</w:t>
                              </w:r>
                              <w:r w:rsidR="00E736BE" w:rsidRPr="00794D71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 xml:space="preserve">.  </w:t>
                              </w:r>
                            </w:p>
                            <w:p w:rsidR="007D26ED" w:rsidRPr="00794D71" w:rsidRDefault="00B84C59" w:rsidP="006F6A0A">
                              <w:pPr>
                                <w:pStyle w:val="yiv1748895135msonormal"/>
                                <w:shd w:val="clear" w:color="auto" w:fill="FFFFFF"/>
                                <w:jc w:val="both"/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</w:pPr>
                              <w:r w:rsidRPr="00455552">
                                <w:rPr>
                                  <w:rFonts w:ascii="Verdana" w:hAnsi="Verdana"/>
                                  <w:b/>
                                  <w:noProof/>
                                  <w:color w:val="35994D"/>
                                  <w:sz w:val="34"/>
                                  <w:szCs w:val="34"/>
                                </w:rPr>
                                <w:pict>
                                  <v:shapetype id="_x0000_t84" coordsize="21600,21600" o:spt="84" adj="2700" path="m,l,21600r21600,l21600,xem@0@0nfl@0@2@1@2@1@0xem,nfl@0@0em,21600nfl@0@2em21600,21600nfl@1@2em21600,nfl@1@0e">
                                    <v:stroke joinstyle="miter"/>
                                    <v:formulas>
                                      <v:f eqn="val #0"/>
                                      <v:f eqn="sum width 0 #0"/>
                                      <v:f eqn="sum height 0 #0"/>
                                      <v:f eqn="prod width 1 2"/>
                                      <v:f eqn="prod height 1 2"/>
                                      <v:f eqn="prod #0 1 2"/>
                                      <v:f eqn="prod #0 3 2"/>
                                      <v:f eqn="sum @1 @5 0"/>
                                      <v:f eqn="sum @2 @5 0"/>
                                    </v:formulas>
                                    <v:path o:extrusionok="f" limo="10800,10800" o:connecttype="custom" o:connectlocs="0,@4;@0,@4;@3,21600;@3,@2;21600,@4;@1,@4;@3,0;@3,@0" textboxrect="@0,@0,@1,@2"/>
                                    <v:handles>
                                      <v:h position="#0,topLeft" switch="" xrange="0,10800"/>
                                    </v:handles>
                                    <o:complex v:ext="view"/>
                                  </v:shapetype>
                                  <v:shape id="_x0000_s1029" type="#_x0000_t84" href="https://site.pheedloop.com/event/PO2025/register#start" style="position:absolute;left:0;text-align:left;margin-left:351pt;margin-top:56.35pt;width:147pt;height:75pt;z-index:251661312" o:button="t" fillcolor="#95b3d7 [1940]" strokecolor="#95b3d7 [1940]" strokeweight="1pt">
                                    <v:fill color2="#dbe5f1 [660]" o:detectmouseclick="t" angle="-45" focus="-50%" type="gradient"/>
                                    <v:shadow on="t" type="perspective" color="#243f60 [1604]" opacity=".5" offset="1pt" offset2="-3pt"/>
                                    <v:textbox style="mso-next-textbox:#_x0000_s1029">
                                      <w:txbxContent>
                                        <w:p w:rsidR="00D467AE" w:rsidRPr="00A27D88" w:rsidRDefault="00182D4F" w:rsidP="00D467AE">
                                          <w:pPr>
                                            <w:rPr>
                                              <w:rFonts w:ascii="Verdana" w:hAnsi="Verdana"/>
                                              <w:b/>
                                              <w:sz w:val="32"/>
                                            </w:rPr>
                                          </w:pPr>
                                          <w:r w:rsidRPr="00A27D88">
                                            <w:rPr>
                                              <w:rFonts w:ascii="Verdana" w:hAnsi="Verdana"/>
                                              <w:b/>
                                              <w:sz w:val="32"/>
                                            </w:rPr>
                                            <w:t xml:space="preserve">Register to </w:t>
                                          </w:r>
                                          <w:r w:rsidR="00B33504" w:rsidRPr="00A27D88">
                                            <w:rPr>
                                              <w:rFonts w:ascii="Verdana" w:hAnsi="Verdana"/>
                                              <w:b/>
                                              <w:sz w:val="32"/>
                                            </w:rPr>
                                            <w:t>Attend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w:pict>
                              </w:r>
                              <w:r w:rsidRPr="00455552">
                                <w:rPr>
                                  <w:rFonts w:ascii="Verdana" w:hAnsi="Verdana"/>
                                  <w:b/>
                                  <w:noProof/>
                                  <w:color w:val="35994D"/>
                                  <w:sz w:val="34"/>
                                  <w:szCs w:val="34"/>
                                </w:rPr>
                                <w:pict>
                                  <v:shape id="_x0000_s1027" type="#_x0000_t84" href="https://site.pheedloop.com/event/PO2025/eventsponsors/applysponsor" style="position:absolute;left:0;text-align:left;margin-left:185.25pt;margin-top:56.35pt;width:147pt;height:75pt;z-index:251659264" o:button="t" fillcolor="#95b3d7 [1940]" strokecolor="#95b3d7 [1940]" strokeweight="1pt">
                                    <v:fill color2="#dbe5f1 [660]" o:detectmouseclick="t" angle="-45" focus="-50%" type="gradient"/>
                                    <v:shadow on="t" type="perspective" color="#243f60 [1604]" opacity=".5" offset="1pt" offset2="-3pt"/>
                                    <v:textbox style="mso-next-textbox:#_x0000_s1027">
                                      <w:txbxContent>
                                        <w:p w:rsidR="00D467AE" w:rsidRPr="00B84C59" w:rsidRDefault="00182D4F" w:rsidP="00D467AE">
                                          <w:pPr>
                                            <w:rPr>
                                              <w:rFonts w:ascii="Verdana" w:hAnsi="Verdana"/>
                                              <w:b/>
                                              <w:sz w:val="32"/>
                                            </w:rPr>
                                          </w:pPr>
                                          <w:r w:rsidRPr="00B84C59">
                                            <w:rPr>
                                              <w:rFonts w:ascii="Verdana" w:hAnsi="Verdana"/>
                                              <w:b/>
                                              <w:sz w:val="32"/>
                                            </w:rPr>
                                            <w:t xml:space="preserve">Apply to </w:t>
                                          </w:r>
                                          <w:r w:rsidR="00D467AE" w:rsidRPr="00B84C59">
                                            <w:rPr>
                                              <w:rFonts w:ascii="Verdana" w:hAnsi="Verdana"/>
                                              <w:b/>
                                              <w:sz w:val="32"/>
                                            </w:rPr>
                                            <w:t>Sponsor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w:pict>
                              </w:r>
                              <w:r w:rsidR="007362B0" w:rsidRPr="00455552">
                                <w:rPr>
                                  <w:rFonts w:ascii="Verdana" w:hAnsi="Verdana"/>
                                  <w:noProof/>
                                  <w:color w:val="333333"/>
                                  <w:sz w:val="20"/>
                                  <w:szCs w:val="20"/>
                                </w:rPr>
                                <w:pict>
                                  <v:shape id="_x0000_s1026" type="#_x0000_t84" href="https://site.pheedloop.com/event/PO2025/exhibitors/apply" style="position:absolute;left:0;text-align:left;margin-left:18.75pt;margin-top:56.35pt;width:147pt;height:75pt;z-index:251658240" o:button="t" fillcolor="#95b3d7 [1940]" strokecolor="#95b3d7 [1940]" strokeweight="1pt">
                                    <v:fill color2="#dbe5f1 [660]" o:detectmouseclick="t" angle="-45" focus="-50%" type="gradient"/>
                                    <v:shadow on="t" type="perspective" color="#243f60 [1604]" opacity=".5" offset="1pt" offset2="-3pt"/>
                                    <v:textbox style="mso-next-textbox:#_x0000_s1026">
                                      <w:txbxContent>
                                        <w:p w:rsidR="00D467AE" w:rsidRPr="00B84C59" w:rsidRDefault="00182D4F">
                                          <w:pPr>
                                            <w:rPr>
                                              <w:rFonts w:ascii="Verdana" w:hAnsi="Verdana"/>
                                              <w:b/>
                                              <w:sz w:val="32"/>
                                            </w:rPr>
                                          </w:pPr>
                                          <w:r w:rsidRPr="00B84C59">
                                            <w:rPr>
                                              <w:rFonts w:ascii="Verdana" w:hAnsi="Verdana"/>
                                              <w:b/>
                                              <w:sz w:val="32"/>
                                            </w:rPr>
                                            <w:t xml:space="preserve">Apply to </w:t>
                                          </w:r>
                                          <w:r w:rsidR="00D467AE" w:rsidRPr="00B84C59">
                                            <w:rPr>
                                              <w:rFonts w:ascii="Verdana" w:hAnsi="Verdana"/>
                                              <w:b/>
                                              <w:sz w:val="32"/>
                                            </w:rPr>
                                            <w:t>Exhibit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w:pict>
                              </w:r>
                              <w:r w:rsidR="009B42C9" w:rsidRPr="00794D71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>If you are interested in becoming a</w:t>
                              </w:r>
                              <w:r w:rsidR="006978B1" w:rsidRPr="00794D71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>n</w:t>
                              </w:r>
                              <w:r w:rsidR="004835F6" w:rsidRPr="00794D71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 xml:space="preserve"> Exhibitor</w:t>
                              </w:r>
                              <w:r w:rsidR="006978B1" w:rsidRPr="00794D71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 xml:space="preserve">, a Sponsor, </w:t>
                              </w:r>
                              <w:r w:rsidR="006976BB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 xml:space="preserve">a </w:t>
                              </w:r>
                              <w:r w:rsidR="004835F6" w:rsidRPr="00794D71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>Register</w:t>
                              </w:r>
                              <w:r w:rsidR="006978B1" w:rsidRPr="00794D71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 xml:space="preserve">ed </w:t>
                              </w:r>
                              <w:r w:rsidR="00B33504" w:rsidRPr="00794D71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>A</w:t>
                              </w:r>
                              <w:r w:rsidR="006978B1" w:rsidRPr="00794D71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 xml:space="preserve">ttendee, or </w:t>
                              </w:r>
                              <w:r w:rsidR="00B33504" w:rsidRPr="00794D71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 xml:space="preserve">you </w:t>
                              </w:r>
                              <w:r w:rsidR="006978B1" w:rsidRPr="00794D71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>would like more information about the conference</w:t>
                              </w:r>
                              <w:r w:rsidR="004835F6" w:rsidRPr="00794D71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>, click</w:t>
                              </w:r>
                              <w:r w:rsidR="00705DC6" w:rsidRPr="00794D71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 xml:space="preserve"> on the appropriate button</w:t>
                              </w:r>
                              <w:r w:rsidR="004835F6" w:rsidRPr="00794D71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 xml:space="preserve"> below</w:t>
                              </w:r>
                              <w:r w:rsidR="007D26ED" w:rsidRPr="00794D71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>:</w:t>
                              </w:r>
                              <w:r w:rsidR="00B33504" w:rsidRPr="00794D71">
                                <w:rPr>
                                  <w:rFonts w:ascii="Verdana" w:eastAsiaTheme="minorHAnsi" w:hAnsi="Verdana"/>
                                  <w:color w:val="333333"/>
                                </w:rPr>
                                <w:t xml:space="preserve"> </w:t>
                              </w:r>
                            </w:p>
                            <w:p w:rsidR="004835F6" w:rsidRDefault="004835F6" w:rsidP="004835F6">
                              <w:pPr>
                                <w:pStyle w:val="NormalWeb"/>
                                <w:jc w:val="center"/>
                                <w:rPr>
                                  <w:rFonts w:ascii="Verdana" w:hAnsi="Verdana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</w:p>
                            <w:p w:rsidR="004835F6" w:rsidRDefault="004835F6" w:rsidP="004835F6">
                              <w:pPr>
                                <w:pStyle w:val="NormalWeb"/>
                                <w:jc w:val="center"/>
                                <w:rPr>
                                  <w:rFonts w:ascii="Verdana" w:hAnsi="Verdana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</w:p>
                            <w:p w:rsidR="004835F6" w:rsidRDefault="004835F6" w:rsidP="004835F6">
                              <w:pPr>
                                <w:pStyle w:val="NormalWeb"/>
                                <w:jc w:val="center"/>
                                <w:rPr>
                                  <w:rFonts w:ascii="Verdana" w:hAnsi="Verdana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</w:p>
                            <w:p w:rsidR="004835F6" w:rsidRDefault="00B84C59" w:rsidP="004835F6">
                              <w:pPr>
                                <w:pStyle w:val="NormalWeb"/>
                                <w:jc w:val="center"/>
                                <w:rPr>
                                  <w:rFonts w:ascii="Verdana" w:hAnsi="Verdana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  <w:r w:rsidRPr="00455552">
                                <w:rPr>
                                  <w:rFonts w:ascii="Verdana" w:hAnsi="Verdana"/>
                                  <w:noProof/>
                                  <w:color w:val="333333"/>
                                  <w:sz w:val="32"/>
                                  <w:szCs w:val="32"/>
                                </w:rPr>
                                <w:pict>
                                  <v:shape id="_x0000_s1030" type="#_x0000_t84" href="http://www.polyolefinsconference.org/" style="position:absolute;left:0;text-align:left;margin-left:185.25pt;margin-top:25.15pt;width:147pt;height:75pt;z-index:251662336" o:button="t" fillcolor="#95b3d7 [1940]" strokecolor="#95b3d7 [1940]" strokeweight="1pt">
                                    <v:fill color2="#dbe5f1 [660]" o:detectmouseclick="t" angle="-45" focus="-50%" type="gradient"/>
                                    <v:shadow on="t" type="perspective" color="#243f60 [1604]" opacity=".5" offset="1pt" offset2="-3pt"/>
                                    <v:textbox style="mso-next-textbox:#_x0000_s1030">
                                      <w:txbxContent>
                                        <w:p w:rsidR="006978B1" w:rsidRPr="006978B1" w:rsidRDefault="006978B1" w:rsidP="006978B1">
                                          <w:pPr>
                                            <w:rPr>
                                              <w:rFonts w:ascii="Verdana" w:hAnsi="Verdana"/>
                                            </w:rPr>
                                          </w:pPr>
                                          <w:r w:rsidRPr="006978B1">
                                            <w:rPr>
                                              <w:rFonts w:ascii="Verdana" w:hAnsi="Verdana"/>
                                            </w:rPr>
                                            <w:t>More information about the Conference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w:pict>
                              </w:r>
                            </w:p>
                            <w:p w:rsidR="00D467AE" w:rsidRDefault="00D467AE" w:rsidP="004835F6">
                              <w:pPr>
                                <w:pStyle w:val="NormalWeb"/>
                                <w:jc w:val="center"/>
                                <w:rPr>
                                  <w:rFonts w:ascii="Verdana" w:hAnsi="Verdana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</w:p>
                            <w:p w:rsidR="00D467AE" w:rsidRDefault="00D467AE" w:rsidP="004835F6">
                              <w:pPr>
                                <w:pStyle w:val="NormalWeb"/>
                                <w:jc w:val="center"/>
                                <w:rPr>
                                  <w:rFonts w:ascii="Verdana" w:hAnsi="Verdana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</w:p>
                            <w:p w:rsidR="00D467AE" w:rsidRDefault="00D467AE" w:rsidP="004835F6">
                              <w:pPr>
                                <w:pStyle w:val="NormalWeb"/>
                                <w:jc w:val="center"/>
                                <w:rPr>
                                  <w:rFonts w:ascii="Verdana" w:hAnsi="Verdana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</w:p>
                            <w:p w:rsidR="00D467AE" w:rsidRDefault="00D467AE" w:rsidP="004835F6">
                              <w:pPr>
                                <w:pStyle w:val="NormalWeb"/>
                                <w:jc w:val="center"/>
                                <w:rPr>
                                  <w:rFonts w:ascii="Verdana" w:hAnsi="Verdana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</w:p>
                            <w:p w:rsidR="00E81B00" w:rsidRPr="00332490" w:rsidRDefault="00E81B00" w:rsidP="003841B6">
                              <w:pPr>
                                <w:pStyle w:val="NormalWeb"/>
                                <w:jc w:val="center"/>
                              </w:pPr>
                            </w:p>
                          </w:tc>
                        </w:tr>
                        <w:tr w:rsidR="00E81B00" w:rsidTr="000352CF">
                          <w:trPr>
                            <w:tblCellSpacing w:w="0" w:type="dxa"/>
                          </w:trPr>
                          <w:tc>
                            <w:tcPr>
                              <w:tcW w:w="9798" w:type="dxa"/>
                              <w:hideMark/>
                            </w:tcPr>
                            <w:p w:rsidR="00E81B00" w:rsidRDefault="00E81B00">
                              <w: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E81B00" w:rsidTr="000352CF">
                          <w:trPr>
                            <w:tblCellSpacing w:w="0" w:type="dxa"/>
                          </w:trPr>
                          <w:tc>
                            <w:tcPr>
                              <w:tcW w:w="9798" w:type="dxa"/>
                              <w:hideMark/>
                            </w:tcPr>
                            <w:p w:rsidR="00E81B00" w:rsidRDefault="00E81B00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:rsidR="00E81B00" w:rsidRDefault="00E81B00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E81B00" w:rsidRDefault="00E81B00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E81B00" w:rsidRDefault="00E81B00">
            <w:pPr>
              <w:rPr>
                <w:rFonts w:asciiTheme="minorHAnsi" w:hAnsiTheme="minorHAnsi"/>
              </w:rPr>
            </w:pPr>
          </w:p>
        </w:tc>
      </w:tr>
      <w:tr w:rsidR="00545671" w:rsidRPr="00B152FA" w:rsidTr="004835F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545671" w:rsidRDefault="00545671"/>
        </w:tc>
      </w:tr>
      <w:tr w:rsidR="00545671" w:rsidRPr="00B152FA" w:rsidTr="004835F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545671" w:rsidRDefault="00545671"/>
        </w:tc>
      </w:tr>
    </w:tbl>
    <w:p w:rsidR="006E2583" w:rsidRDefault="006E2583" w:rsidP="00886F9F"/>
    <w:p w:rsidR="006978B1" w:rsidRDefault="006978B1" w:rsidP="006978B1">
      <w:pPr>
        <w:pStyle w:val="NormalWeb"/>
        <w:jc w:val="center"/>
        <w:rPr>
          <w:rFonts w:ascii="Verdana" w:hAnsi="Verdana"/>
          <w:color w:val="333333"/>
          <w:sz w:val="32"/>
          <w:szCs w:val="32"/>
        </w:rPr>
      </w:pPr>
    </w:p>
    <w:p w:rsidR="004835F6" w:rsidRPr="006978B1" w:rsidRDefault="004835F6" w:rsidP="006978B1">
      <w:pPr>
        <w:jc w:val="center"/>
        <w:rPr>
          <w:sz w:val="36"/>
          <w:szCs w:val="36"/>
        </w:rPr>
      </w:pPr>
    </w:p>
    <w:sectPr w:rsidR="004835F6" w:rsidRPr="006978B1" w:rsidSect="00801D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71378"/>
    <w:multiLevelType w:val="multilevel"/>
    <w:tmpl w:val="3B7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387C91"/>
    <w:multiLevelType w:val="multilevel"/>
    <w:tmpl w:val="4B0C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82253AF"/>
    <w:multiLevelType w:val="multilevel"/>
    <w:tmpl w:val="5BFC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726097"/>
    <w:multiLevelType w:val="multilevel"/>
    <w:tmpl w:val="82E4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81B00"/>
    <w:rsid w:val="000352CF"/>
    <w:rsid w:val="0004070C"/>
    <w:rsid w:val="0004202A"/>
    <w:rsid w:val="00043E1C"/>
    <w:rsid w:val="0004570B"/>
    <w:rsid w:val="00045E82"/>
    <w:rsid w:val="00047FAB"/>
    <w:rsid w:val="00056CF7"/>
    <w:rsid w:val="0006664D"/>
    <w:rsid w:val="0007104C"/>
    <w:rsid w:val="00072C92"/>
    <w:rsid w:val="00090B1B"/>
    <w:rsid w:val="000A3B88"/>
    <w:rsid w:val="000B6F66"/>
    <w:rsid w:val="000C163F"/>
    <w:rsid w:val="000D2F6C"/>
    <w:rsid w:val="000D40BC"/>
    <w:rsid w:val="001211D3"/>
    <w:rsid w:val="001302A3"/>
    <w:rsid w:val="00131A9B"/>
    <w:rsid w:val="00133637"/>
    <w:rsid w:val="001526B3"/>
    <w:rsid w:val="00162648"/>
    <w:rsid w:val="00172837"/>
    <w:rsid w:val="00175A91"/>
    <w:rsid w:val="00182D4F"/>
    <w:rsid w:val="00194F3D"/>
    <w:rsid w:val="00196555"/>
    <w:rsid w:val="00196762"/>
    <w:rsid w:val="001A1A9B"/>
    <w:rsid w:val="001A42FD"/>
    <w:rsid w:val="001B215C"/>
    <w:rsid w:val="001B4DDD"/>
    <w:rsid w:val="001C3956"/>
    <w:rsid w:val="00200860"/>
    <w:rsid w:val="002072F3"/>
    <w:rsid w:val="002104E4"/>
    <w:rsid w:val="00212650"/>
    <w:rsid w:val="00213B2A"/>
    <w:rsid w:val="00232D8F"/>
    <w:rsid w:val="00236323"/>
    <w:rsid w:val="00236599"/>
    <w:rsid w:val="00245846"/>
    <w:rsid w:val="002542DF"/>
    <w:rsid w:val="00263DDF"/>
    <w:rsid w:val="002662A1"/>
    <w:rsid w:val="0028635F"/>
    <w:rsid w:val="0029103D"/>
    <w:rsid w:val="00291F48"/>
    <w:rsid w:val="002A3827"/>
    <w:rsid w:val="002B053F"/>
    <w:rsid w:val="002C361E"/>
    <w:rsid w:val="002C4154"/>
    <w:rsid w:val="002D075F"/>
    <w:rsid w:val="002D66F2"/>
    <w:rsid w:val="002E535F"/>
    <w:rsid w:val="002E71BB"/>
    <w:rsid w:val="00305ABE"/>
    <w:rsid w:val="00306B69"/>
    <w:rsid w:val="00317F79"/>
    <w:rsid w:val="00320B1C"/>
    <w:rsid w:val="00321E97"/>
    <w:rsid w:val="003232F3"/>
    <w:rsid w:val="00323A57"/>
    <w:rsid w:val="00327414"/>
    <w:rsid w:val="00331DBC"/>
    <w:rsid w:val="00332333"/>
    <w:rsid w:val="00332490"/>
    <w:rsid w:val="003345D7"/>
    <w:rsid w:val="00336D88"/>
    <w:rsid w:val="00342CE0"/>
    <w:rsid w:val="00344AD3"/>
    <w:rsid w:val="0035292B"/>
    <w:rsid w:val="0035336D"/>
    <w:rsid w:val="00377A1B"/>
    <w:rsid w:val="003841B6"/>
    <w:rsid w:val="00386B06"/>
    <w:rsid w:val="003909E5"/>
    <w:rsid w:val="00391E2D"/>
    <w:rsid w:val="003934F2"/>
    <w:rsid w:val="00394C5E"/>
    <w:rsid w:val="0039625D"/>
    <w:rsid w:val="003B25A2"/>
    <w:rsid w:val="003B6F31"/>
    <w:rsid w:val="003B7CDB"/>
    <w:rsid w:val="003C1F14"/>
    <w:rsid w:val="003D196A"/>
    <w:rsid w:val="003D699A"/>
    <w:rsid w:val="003E59B0"/>
    <w:rsid w:val="00403647"/>
    <w:rsid w:val="0043212C"/>
    <w:rsid w:val="00440455"/>
    <w:rsid w:val="00455552"/>
    <w:rsid w:val="004673F2"/>
    <w:rsid w:val="004730FE"/>
    <w:rsid w:val="00473745"/>
    <w:rsid w:val="004835F6"/>
    <w:rsid w:val="0048772A"/>
    <w:rsid w:val="004A3BCE"/>
    <w:rsid w:val="004A6A17"/>
    <w:rsid w:val="004B145F"/>
    <w:rsid w:val="004B6EBC"/>
    <w:rsid w:val="004B7644"/>
    <w:rsid w:val="004B7D15"/>
    <w:rsid w:val="004D1276"/>
    <w:rsid w:val="004E0530"/>
    <w:rsid w:val="004F30AA"/>
    <w:rsid w:val="004F5EC8"/>
    <w:rsid w:val="004F6A0F"/>
    <w:rsid w:val="00505E15"/>
    <w:rsid w:val="005061C5"/>
    <w:rsid w:val="0051252A"/>
    <w:rsid w:val="005153E7"/>
    <w:rsid w:val="005179A0"/>
    <w:rsid w:val="005250C8"/>
    <w:rsid w:val="00527FCA"/>
    <w:rsid w:val="005314AB"/>
    <w:rsid w:val="005349A3"/>
    <w:rsid w:val="00545671"/>
    <w:rsid w:val="005579FB"/>
    <w:rsid w:val="005650D8"/>
    <w:rsid w:val="005825D3"/>
    <w:rsid w:val="00585382"/>
    <w:rsid w:val="0058686F"/>
    <w:rsid w:val="00594682"/>
    <w:rsid w:val="00596B50"/>
    <w:rsid w:val="005B02A3"/>
    <w:rsid w:val="005B7F4C"/>
    <w:rsid w:val="005C02F7"/>
    <w:rsid w:val="005D7B46"/>
    <w:rsid w:val="005E6D36"/>
    <w:rsid w:val="005F2644"/>
    <w:rsid w:val="00603710"/>
    <w:rsid w:val="00631242"/>
    <w:rsid w:val="00653AC6"/>
    <w:rsid w:val="00664466"/>
    <w:rsid w:val="006717F2"/>
    <w:rsid w:val="0067293F"/>
    <w:rsid w:val="006763C3"/>
    <w:rsid w:val="00692ACD"/>
    <w:rsid w:val="006976BB"/>
    <w:rsid w:val="006978B1"/>
    <w:rsid w:val="006A0764"/>
    <w:rsid w:val="006A3B56"/>
    <w:rsid w:val="006B319F"/>
    <w:rsid w:val="006B4111"/>
    <w:rsid w:val="006E2583"/>
    <w:rsid w:val="006E7492"/>
    <w:rsid w:val="006F0E90"/>
    <w:rsid w:val="006F6A0A"/>
    <w:rsid w:val="00705DC6"/>
    <w:rsid w:val="00706796"/>
    <w:rsid w:val="00714F31"/>
    <w:rsid w:val="007309E3"/>
    <w:rsid w:val="007362B0"/>
    <w:rsid w:val="0075148C"/>
    <w:rsid w:val="0075396A"/>
    <w:rsid w:val="007546BC"/>
    <w:rsid w:val="0075479E"/>
    <w:rsid w:val="00756621"/>
    <w:rsid w:val="00757074"/>
    <w:rsid w:val="00762A4E"/>
    <w:rsid w:val="0077472A"/>
    <w:rsid w:val="00785A00"/>
    <w:rsid w:val="00794D71"/>
    <w:rsid w:val="007A5FFA"/>
    <w:rsid w:val="007A6817"/>
    <w:rsid w:val="007C1375"/>
    <w:rsid w:val="007C5204"/>
    <w:rsid w:val="007D26ED"/>
    <w:rsid w:val="007D7770"/>
    <w:rsid w:val="007E1050"/>
    <w:rsid w:val="007E11C3"/>
    <w:rsid w:val="007E676E"/>
    <w:rsid w:val="007F745F"/>
    <w:rsid w:val="00801DF9"/>
    <w:rsid w:val="00802061"/>
    <w:rsid w:val="0081541F"/>
    <w:rsid w:val="00825D51"/>
    <w:rsid w:val="00853768"/>
    <w:rsid w:val="00860153"/>
    <w:rsid w:val="008720C0"/>
    <w:rsid w:val="00872678"/>
    <w:rsid w:val="0087419C"/>
    <w:rsid w:val="00874206"/>
    <w:rsid w:val="0087730E"/>
    <w:rsid w:val="00886F9F"/>
    <w:rsid w:val="008931EC"/>
    <w:rsid w:val="008A45F1"/>
    <w:rsid w:val="008A4CE2"/>
    <w:rsid w:val="008C1B67"/>
    <w:rsid w:val="008D39FF"/>
    <w:rsid w:val="008E0B79"/>
    <w:rsid w:val="008E5515"/>
    <w:rsid w:val="008F078D"/>
    <w:rsid w:val="008F4086"/>
    <w:rsid w:val="00915A86"/>
    <w:rsid w:val="00943734"/>
    <w:rsid w:val="00952B2C"/>
    <w:rsid w:val="009566D8"/>
    <w:rsid w:val="00962BAD"/>
    <w:rsid w:val="00972584"/>
    <w:rsid w:val="00982570"/>
    <w:rsid w:val="00990829"/>
    <w:rsid w:val="009A7C7B"/>
    <w:rsid w:val="009B42C9"/>
    <w:rsid w:val="009B496D"/>
    <w:rsid w:val="009B71E8"/>
    <w:rsid w:val="009D1186"/>
    <w:rsid w:val="009D319C"/>
    <w:rsid w:val="009F3518"/>
    <w:rsid w:val="009F459D"/>
    <w:rsid w:val="009F7EC8"/>
    <w:rsid w:val="00A03AED"/>
    <w:rsid w:val="00A03E3F"/>
    <w:rsid w:val="00A0787C"/>
    <w:rsid w:val="00A11611"/>
    <w:rsid w:val="00A14381"/>
    <w:rsid w:val="00A176B6"/>
    <w:rsid w:val="00A22183"/>
    <w:rsid w:val="00A27D88"/>
    <w:rsid w:val="00A32A01"/>
    <w:rsid w:val="00A34192"/>
    <w:rsid w:val="00A437F9"/>
    <w:rsid w:val="00A4637F"/>
    <w:rsid w:val="00A47E80"/>
    <w:rsid w:val="00A52A3F"/>
    <w:rsid w:val="00A61530"/>
    <w:rsid w:val="00A65730"/>
    <w:rsid w:val="00A66E3E"/>
    <w:rsid w:val="00A71C05"/>
    <w:rsid w:val="00A8401C"/>
    <w:rsid w:val="00AA218F"/>
    <w:rsid w:val="00AA2D47"/>
    <w:rsid w:val="00AA37A0"/>
    <w:rsid w:val="00AA4A10"/>
    <w:rsid w:val="00AB6618"/>
    <w:rsid w:val="00AC3847"/>
    <w:rsid w:val="00AD6729"/>
    <w:rsid w:val="00AD6BD9"/>
    <w:rsid w:val="00AE2777"/>
    <w:rsid w:val="00AF08DA"/>
    <w:rsid w:val="00B152FA"/>
    <w:rsid w:val="00B25585"/>
    <w:rsid w:val="00B33504"/>
    <w:rsid w:val="00B4140F"/>
    <w:rsid w:val="00B41648"/>
    <w:rsid w:val="00B444CD"/>
    <w:rsid w:val="00B46801"/>
    <w:rsid w:val="00B478D2"/>
    <w:rsid w:val="00B5278B"/>
    <w:rsid w:val="00B55196"/>
    <w:rsid w:val="00B56F23"/>
    <w:rsid w:val="00B63CE9"/>
    <w:rsid w:val="00B75474"/>
    <w:rsid w:val="00B77835"/>
    <w:rsid w:val="00B8415E"/>
    <w:rsid w:val="00B84C59"/>
    <w:rsid w:val="00B90C33"/>
    <w:rsid w:val="00BA4661"/>
    <w:rsid w:val="00BA4C40"/>
    <w:rsid w:val="00BA6373"/>
    <w:rsid w:val="00BB57E7"/>
    <w:rsid w:val="00BD6727"/>
    <w:rsid w:val="00BD7C00"/>
    <w:rsid w:val="00C07813"/>
    <w:rsid w:val="00C100EA"/>
    <w:rsid w:val="00C130F2"/>
    <w:rsid w:val="00C36C43"/>
    <w:rsid w:val="00C37C4D"/>
    <w:rsid w:val="00C422A9"/>
    <w:rsid w:val="00C5186A"/>
    <w:rsid w:val="00C74327"/>
    <w:rsid w:val="00C765A6"/>
    <w:rsid w:val="00C81557"/>
    <w:rsid w:val="00C82566"/>
    <w:rsid w:val="00C86958"/>
    <w:rsid w:val="00C97E11"/>
    <w:rsid w:val="00CC04FB"/>
    <w:rsid w:val="00CC0CD3"/>
    <w:rsid w:val="00CC491D"/>
    <w:rsid w:val="00CC6959"/>
    <w:rsid w:val="00CE4909"/>
    <w:rsid w:val="00CE6C35"/>
    <w:rsid w:val="00CF7F76"/>
    <w:rsid w:val="00D045F2"/>
    <w:rsid w:val="00D26089"/>
    <w:rsid w:val="00D3543A"/>
    <w:rsid w:val="00D35BEB"/>
    <w:rsid w:val="00D36C18"/>
    <w:rsid w:val="00D467AE"/>
    <w:rsid w:val="00D77623"/>
    <w:rsid w:val="00D83FC7"/>
    <w:rsid w:val="00D904AC"/>
    <w:rsid w:val="00D907E5"/>
    <w:rsid w:val="00D97A54"/>
    <w:rsid w:val="00DA0924"/>
    <w:rsid w:val="00DB5FA3"/>
    <w:rsid w:val="00DB64DF"/>
    <w:rsid w:val="00DB6F79"/>
    <w:rsid w:val="00DD08EB"/>
    <w:rsid w:val="00DD4829"/>
    <w:rsid w:val="00DE1041"/>
    <w:rsid w:val="00DF3C5B"/>
    <w:rsid w:val="00E06782"/>
    <w:rsid w:val="00E1020C"/>
    <w:rsid w:val="00E15C56"/>
    <w:rsid w:val="00E15F49"/>
    <w:rsid w:val="00E16174"/>
    <w:rsid w:val="00E204D5"/>
    <w:rsid w:val="00E22DC7"/>
    <w:rsid w:val="00E2493C"/>
    <w:rsid w:val="00E270F2"/>
    <w:rsid w:val="00E35021"/>
    <w:rsid w:val="00E65473"/>
    <w:rsid w:val="00E736BE"/>
    <w:rsid w:val="00E812C6"/>
    <w:rsid w:val="00E81B00"/>
    <w:rsid w:val="00E90B48"/>
    <w:rsid w:val="00E92AAE"/>
    <w:rsid w:val="00EA1F6B"/>
    <w:rsid w:val="00EB19DB"/>
    <w:rsid w:val="00EB719D"/>
    <w:rsid w:val="00EC1713"/>
    <w:rsid w:val="00ED1920"/>
    <w:rsid w:val="00ED7E71"/>
    <w:rsid w:val="00EE1DE9"/>
    <w:rsid w:val="00EF255A"/>
    <w:rsid w:val="00EF5523"/>
    <w:rsid w:val="00EF5CFB"/>
    <w:rsid w:val="00EF6CC7"/>
    <w:rsid w:val="00F06F8A"/>
    <w:rsid w:val="00F20148"/>
    <w:rsid w:val="00F339AF"/>
    <w:rsid w:val="00F36254"/>
    <w:rsid w:val="00F43D84"/>
    <w:rsid w:val="00F44CCF"/>
    <w:rsid w:val="00F45132"/>
    <w:rsid w:val="00F53EC9"/>
    <w:rsid w:val="00F60F41"/>
    <w:rsid w:val="00F8069C"/>
    <w:rsid w:val="00F848E7"/>
    <w:rsid w:val="00F968BC"/>
    <w:rsid w:val="00F977A4"/>
    <w:rsid w:val="00FC1799"/>
    <w:rsid w:val="00FC2561"/>
    <w:rsid w:val="00FD19F7"/>
    <w:rsid w:val="00FD5D5A"/>
    <w:rsid w:val="00FE3474"/>
    <w:rsid w:val="00FF2090"/>
    <w:rsid w:val="00FF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B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1B0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1B0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81B0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B0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37C4D"/>
    <w:rPr>
      <w:color w:val="800080" w:themeColor="followedHyperlink"/>
      <w:u w:val="single"/>
    </w:rPr>
  </w:style>
  <w:style w:type="paragraph" w:customStyle="1" w:styleId="yiv6615877717msonormal">
    <w:name w:val="yiv6615877717msonormal"/>
    <w:basedOn w:val="Normal"/>
    <w:rsid w:val="00263DDF"/>
    <w:pPr>
      <w:spacing w:before="100" w:beforeAutospacing="1" w:after="100" w:afterAutospacing="1"/>
    </w:pPr>
    <w:rPr>
      <w:rFonts w:eastAsia="Times New Roman"/>
    </w:rPr>
  </w:style>
  <w:style w:type="paragraph" w:customStyle="1" w:styleId="yiv1748895135msonormal">
    <w:name w:val="yiv1748895135msonormal"/>
    <w:basedOn w:val="Normal"/>
    <w:rsid w:val="006F6A0A"/>
    <w:pPr>
      <w:spacing w:before="100" w:beforeAutospacing="1" w:after="100" w:afterAutospacing="1"/>
    </w:pPr>
    <w:rPr>
      <w:rFonts w:eastAsia="Times New Roman"/>
    </w:rPr>
  </w:style>
  <w:style w:type="character" w:customStyle="1" w:styleId="yiv1748895135">
    <w:name w:val="yiv1748895135"/>
    <w:basedOn w:val="DefaultParagraphFont"/>
    <w:rsid w:val="006F6A0A"/>
  </w:style>
  <w:style w:type="paragraph" w:customStyle="1" w:styleId="yiv3243083096msonormal">
    <w:name w:val="yiv3243083096msonormal"/>
    <w:basedOn w:val="Normal"/>
    <w:rsid w:val="0032741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itgalveston.com/meetings-groups/galveston-island-cc/?gclid=CjwKCAiAv_KMBhAzEiwAs-rX1L3_2iDdWvgpBNgde0gaRpxs0sRj-T2fLHXfE2sk0D021cYm1XD63RoCkSsQAvD_Bw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pe-stx.org/wp-content/uploads/2024/11/SPEGALVESTON2022Final_3.mp4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7AA07-08BB-402D-848B-A0AC72F38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Hansen</dc:creator>
  <cp:lastModifiedBy>David Hansen</cp:lastModifiedBy>
  <cp:revision>4</cp:revision>
  <cp:lastPrinted>2020-09-16T18:21:00Z</cp:lastPrinted>
  <dcterms:created xsi:type="dcterms:W3CDTF">2024-12-17T17:29:00Z</dcterms:created>
  <dcterms:modified xsi:type="dcterms:W3CDTF">2024-12-17T17:33:00Z</dcterms:modified>
</cp:coreProperties>
</file>