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98"/>
      </w:tblGrid>
      <w:tr w:rsidR="00E81B00" w:rsidRPr="00B152FA" w:rsidTr="00E81B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98"/>
            </w:tblGrid>
            <w:tr w:rsidR="00E81B0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98"/>
                  </w:tblGrid>
                  <w:tr w:rsidR="00E81B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70F2" w:rsidRDefault="00E270F2"/>
                      <w:p w:rsidR="00E270F2" w:rsidRDefault="00E270F2"/>
                      <w:p w:rsidR="0006664D" w:rsidRDefault="00FC1799" w:rsidP="00E270F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55792" cy="2417064"/>
                              <wp:effectExtent l="19050" t="0" r="6858" b="0"/>
                              <wp:docPr id="1" name="Picture 0" descr="Call forspeakers-graphic-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ll forspeakers-graphic-6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55792" cy="24170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9798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98"/>
                        </w:tblGrid>
                        <w:tr w:rsidR="00E81B00" w:rsidTr="00B152FA">
                          <w:trPr>
                            <w:tblCellSpacing w:w="0" w:type="dxa"/>
                          </w:trPr>
                          <w:tc>
                            <w:tcPr>
                              <w:tcW w:w="9798" w:type="dxa"/>
                              <w:hideMark/>
                            </w:tcPr>
                            <w:p w:rsidR="00DD4829" w:rsidRDefault="00DD4829" w:rsidP="00F06F8A">
                              <w:pPr>
                                <w:pStyle w:val="NormalWeb"/>
                                <w:jc w:val="center"/>
                                <w:rPr>
                                  <w:rFonts w:ascii="Verdana" w:hAnsi="Verdana"/>
                                  <w:b/>
                                  <w:color w:val="35994D"/>
                                  <w:sz w:val="34"/>
                                  <w:szCs w:val="34"/>
                                </w:rPr>
                              </w:pPr>
                            </w:p>
                            <w:p w:rsidR="00F06F8A" w:rsidRPr="00F44CCF" w:rsidRDefault="005153E7" w:rsidP="00F06F8A">
                              <w:pPr>
                                <w:pStyle w:val="NormalWeb"/>
                                <w:jc w:val="center"/>
                                <w:rPr>
                                  <w:rFonts w:ascii="Verdana" w:hAnsi="Verdana"/>
                                  <w:b/>
                                  <w:color w:val="35994D"/>
                                  <w:sz w:val="34"/>
                                  <w:szCs w:val="34"/>
                                </w:rPr>
                              </w:pPr>
                              <w:r w:rsidRPr="00F44CCF">
                                <w:rPr>
                                  <w:rFonts w:ascii="Verdana" w:hAnsi="Verdana"/>
                                  <w:b/>
                                  <w:color w:val="35994D"/>
                                  <w:sz w:val="34"/>
                                  <w:szCs w:val="34"/>
                                </w:rPr>
                                <w:t xml:space="preserve">Inspiring and Enabling Innovation for </w:t>
                              </w:r>
                              <w:proofErr w:type="spellStart"/>
                              <w:r w:rsidRPr="00F44CCF">
                                <w:rPr>
                                  <w:rFonts w:ascii="Verdana" w:hAnsi="Verdana"/>
                                  <w:b/>
                                  <w:color w:val="35994D"/>
                                  <w:sz w:val="34"/>
                                  <w:szCs w:val="34"/>
                                </w:rPr>
                                <w:t>Polyolefins</w:t>
                              </w:r>
                              <w:proofErr w:type="spellEnd"/>
                            </w:p>
                            <w:p w:rsidR="00327414" w:rsidRPr="00327414" w:rsidRDefault="00FD19F7" w:rsidP="00327414">
                              <w:pPr>
                                <w:pStyle w:val="NormalWeb"/>
                                <w:jc w:val="both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A03AED">
                                <w:rPr>
                                  <w:rFonts w:ascii="Verdana" w:hAnsi="Verdana"/>
                                  <w:b/>
                                  <w:color w:val="333333"/>
                                </w:rPr>
                                <w:t>202</w:t>
                              </w:r>
                              <w:r w:rsidR="00C86958" w:rsidRPr="00A03AED">
                                <w:rPr>
                                  <w:rFonts w:ascii="Verdana" w:hAnsi="Verdana"/>
                                  <w:b/>
                                  <w:color w:val="333333"/>
                                </w:rPr>
                                <w:t>4</w:t>
                              </w:r>
                              <w:r w:rsidRPr="00A03AED">
                                <w:rPr>
                                  <w:rFonts w:ascii="Verdana" w:hAnsi="Verdana"/>
                                  <w:b/>
                                  <w:color w:val="333333"/>
                                </w:rPr>
                                <w:t xml:space="preserve"> SPE International </w:t>
                              </w:r>
                              <w:proofErr w:type="spellStart"/>
                              <w:r w:rsidRPr="00A03AED">
                                <w:rPr>
                                  <w:rFonts w:ascii="Verdana" w:hAnsi="Verdana"/>
                                  <w:b/>
                                  <w:color w:val="333333"/>
                                </w:rPr>
                                <w:t>Polyolefins</w:t>
                              </w:r>
                              <w:proofErr w:type="spellEnd"/>
                              <w:r w:rsidRPr="00A03AED">
                                <w:rPr>
                                  <w:rFonts w:ascii="Verdana" w:hAnsi="Verdana"/>
                                  <w:b/>
                                  <w:color w:val="333333"/>
                                </w:rPr>
                                <w:t xml:space="preserve"> Conference will be held on February 18-21, 2024 in Galveston, Texas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The SPE South Texas Section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in collaboration with 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06664D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SPE 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Polymer Modifiers and Additives Division</w:t>
                              </w:r>
                              <w:r w:rsidR="0006664D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E535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he Thermoplastic Materials and Foams Division</w:t>
                              </w:r>
                              <w:r w:rsidR="002E535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15F4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75A91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B63CE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Engineering Properties and Structur</w:t>
                              </w:r>
                              <w:r w:rsidR="00B77835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9F351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Division, </w:t>
                              </w:r>
                              <w:r w:rsidR="00C97E11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9F351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Building and Infrastructure Division,</w:t>
                              </w:r>
                              <w:r w:rsidR="005D7B4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the Applied </w:t>
                              </w:r>
                              <w:proofErr w:type="spellStart"/>
                              <w:r w:rsidR="005D7B4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Rheol</w:t>
                              </w:r>
                              <w:r w:rsidR="005F2644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ogy</w:t>
                              </w:r>
                              <w:proofErr w:type="spellEnd"/>
                              <w:r w:rsidR="005F2644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Division,</w:t>
                              </w:r>
                              <w:r w:rsidR="00B63CE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15F4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and</w:t>
                              </w:r>
                              <w:r w:rsidR="002E535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the Flexible Packaging Division</w:t>
                              </w:r>
                              <w:r w:rsidR="00C36C4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are organizing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sessions</w:t>
                              </w:r>
                              <w:r w:rsidR="00B4140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1B0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in the following areas:</w:t>
                              </w:r>
                              <w:r w:rsidR="00327414">
                                <w:rPr>
                                  <w:rFonts w:ascii="Calibri" w:hAnsi="Calibri" w:cs="Calibri"/>
                                  <w:color w:val="1D2228"/>
                                  <w:sz w:val="22"/>
                                  <w:szCs w:val="22"/>
                                </w:rPr>
                                <w:t>  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Machine learning and AI in the 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Polyolefins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industry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New mechanical and chemical recycling processes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="00F60F41"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Modeling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 and experimental advances in applied 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rheology</w:t>
                              </w:r>
                              <w:proofErr w:type="spellEnd"/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 processing fundamentals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New technologies for sorting that enable recycling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Upcycling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applications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Catalyst enabling recyclability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Sustainability incubators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Safer materials – applications and challenges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Bio-circular/Plant-based 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feedstocks</w:t>
                              </w:r>
                              <w:proofErr w:type="spellEnd"/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Processing diverse 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feedstocks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 in recycled material – diverse mechanical </w:t>
                              </w:r>
                              <w:r w:rsidR="00F60F41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="0077472A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 xml:space="preserve">            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and chemical properties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New converter</w:t>
                              </w:r>
                              <w:r w:rsidR="00F60F41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-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driven technologies and applications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Polyolefin </w:t>
                              </w:r>
                              <w:r w:rsidR="00B5278B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dditives and </w:t>
                              </w:r>
                              <w:r w:rsidR="00B5278B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m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odifiers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Design for recyclability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Polyolefins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in infrastructure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3D Printing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 composites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Polyolefins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in extreme applications- aerospace, defense, energy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PE Pipe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Polyolefin 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elastomers</w:t>
                              </w:r>
                              <w:proofErr w:type="spellEnd"/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Automotive applications- impact modifiers, EVs, and light</w:t>
                              </w:r>
                              <w:r w:rsidR="00D83FC7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weighting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Regulatory dynamics – sustainable materials, recycling, and additives</w:t>
                              </w:r>
                            </w:p>
                            <w:p w:rsidR="00327414" w:rsidRP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ind w:left="360"/>
                                <w:rPr>
                                  <w:rFonts w:ascii="Verdana" w:hAnsi="Verdana" w:cs="Calibri"/>
                                  <w:b/>
                                  <w:color w:val="1D2228"/>
                                </w:rPr>
                              </w:pP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21"/>
                                  <w:szCs w:val="21"/>
                                </w:rPr>
                                <w:t>·</w:t>
                              </w:r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1D2228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proofErr w:type="spellStart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Polyolefins</w:t>
                              </w:r>
                              <w:proofErr w:type="spellEnd"/>
                              <w:r w:rsidRPr="00327414">
                                <w:rPr>
                                  <w:rFonts w:ascii="Verdana" w:hAnsi="Verdana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 xml:space="preserve"> in solar and wind energy</w:t>
                              </w:r>
                            </w:p>
                            <w:p w:rsidR="00327414" w:rsidRDefault="00327414" w:rsidP="00327414">
                              <w:pPr>
                                <w:pStyle w:val="yiv3243083096msonormal"/>
                                <w:shd w:val="clear" w:color="auto" w:fill="FFFFFF"/>
                                <w:spacing w:before="0" w:beforeAutospacing="0" w:after="0" w:afterAutospacing="0" w:line="231" w:lineRule="atLeast"/>
                                <w:rPr>
                                  <w:rFonts w:ascii="Calibri" w:hAnsi="Calibri" w:cs="Calibri"/>
                                  <w:color w:val="1D2228"/>
                                </w:rPr>
                              </w:pPr>
                            </w:p>
                            <w:p w:rsidR="0028635F" w:rsidRPr="0028635F" w:rsidRDefault="0028635F" w:rsidP="0028635F">
                              <w:pPr>
                                <w:shd w:val="clear" w:color="auto" w:fill="FFFFFF"/>
                                <w:ind w:left="720"/>
                                <w:textAlignment w:val="baseline"/>
                                <w:rPr>
                                  <w:rFonts w:ascii="inherit" w:eastAsia="Times New Roman" w:hAnsi="inherit" w:cs="Times"/>
                                  <w:sz w:val="21"/>
                                  <w:szCs w:val="21"/>
                                </w:rPr>
                              </w:pPr>
                            </w:p>
                            <w:p w:rsidR="006F6A0A" w:rsidRPr="006F6A0A" w:rsidRDefault="00A71C05" w:rsidP="00B152FA">
                              <w:pPr>
                                <w:pStyle w:val="yiv1748895135msonormal"/>
                                <w:shd w:val="clear" w:color="auto" w:fill="FFFFFF"/>
                                <w:jc w:val="both"/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lastRenderedPageBreak/>
                                <w:t xml:space="preserve">The 2024 SPE International </w:t>
                              </w:r>
                              <w:proofErr w:type="spellStart"/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Polyolefins</w:t>
                              </w:r>
                              <w:proofErr w:type="spellEnd"/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Conference will be hybrid conference with an in-person conference at the Galveston Island Convention Center in Texas (site of last year’s very successful </w:t>
                              </w:r>
                              <w:proofErr w:type="spellStart"/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Polyolefins</w:t>
                              </w:r>
                              <w:proofErr w:type="spellEnd"/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Conference) and a virtual conference (</w:t>
                              </w:r>
                              <w:r w:rsidR="00327414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presentations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and videos on demand, virtual exhibitor booths,</w:t>
                              </w:r>
                              <w:r w:rsidR="00B5278B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easy communication with attendees and speakers,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and more). The conference will use a software platform that will also enhance the in-person conference with mobile software. 900 people attended last year’s hybrid conference. </w:t>
                              </w:r>
                              <w:r w:rsidR="00DA0924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F6A0A" w:rsidRPr="006F6A0A" w:rsidRDefault="00A71C05" w:rsidP="006F6A0A">
                              <w:pPr>
                                <w:pStyle w:val="yiv1748895135msonormal"/>
                                <w:shd w:val="clear" w:color="auto" w:fill="FFFFFF"/>
                                <w:jc w:val="both"/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he program will include a Sunday afternoon tutorial. Renowned plenary industry speakers will present overviews of the business </w:t>
                              </w:r>
                              <w:r w:rsidR="00874206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environment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and dynamics</w:t>
                              </w:r>
                              <w:r w:rsidR="00874206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as well as emerging trends and drivers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. There will be an expanded slate of 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150 technical presentations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and an 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exhibition hall of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over 60 industry suppliers</w:t>
                              </w:r>
                              <w:r w:rsidRPr="00A71C05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, ranging from equipment, compounding, additives, and more. </w:t>
                              </w:r>
                              <w:r w:rsidR="00B55196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D77623" w:rsidRDefault="006F6A0A" w:rsidP="005F2644">
                              <w:pPr>
                                <w:pStyle w:val="yiv1748895135msonormal"/>
                                <w:shd w:val="clear" w:color="auto" w:fill="FFFFFF"/>
                                <w:jc w:val="both"/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A22183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The face-to-face format, with networking events and luncheons, encourages interaction amongst industry leaders to learn about state-of-the-art developments and to imagine how to advance your own business with th</w:t>
                              </w:r>
                              <w:r w:rsidR="00F45132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ese</w:t>
                              </w:r>
                              <w:r w:rsidRPr="00A22183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new technolog</w:t>
                              </w:r>
                              <w:r w:rsidR="00F45132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ies</w:t>
                              </w:r>
                              <w:r w:rsidRPr="00A22183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77623" w:rsidRDefault="00802061" w:rsidP="00802061">
                              <w:pPr>
                                <w:pStyle w:val="yiv6615877717msonormal"/>
                                <w:shd w:val="clear" w:color="auto" w:fill="FFFFFF"/>
                                <w:jc w:val="center"/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802061">
                                <w:rPr>
                                  <w:rFonts w:ascii="Verdana" w:eastAsiaTheme="minorHAnsi" w:hAnsi="Verdana"/>
                                  <w:noProof/>
                                  <w:color w:val="333333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3762936" cy="2105025"/>
                                    <wp:effectExtent l="19050" t="0" r="8964" b="0"/>
                                    <wp:docPr id="7" name="Picture 5" descr="Galveston Conv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alveston Conv.jp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62936" cy="2105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02F7" w:rsidRPr="00B63CE9" w:rsidRDefault="00802061" w:rsidP="005349A3">
                              <w:pPr>
                                <w:pStyle w:val="yiv6615877717msonormal"/>
                                <w:shd w:val="clear" w:color="auto" w:fill="FFFFFF"/>
                                <w:jc w:val="both"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The Convention Center</w:t>
                              </w:r>
                              <w:r w:rsidR="00FD5D5A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(the white building)</w:t>
                              </w:r>
                              <w:r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overlooks the beach with hotels </w:t>
                              </w:r>
                              <w:r w:rsidR="00F848E7"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>in close proximity</w:t>
                              </w:r>
                              <w:r>
                                <w:rPr>
                                  <w:rFonts w:ascii="Verdana" w:eastAsiaTheme="minorHAnsi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E81B00" w:rsidRDefault="00E81B00" w:rsidP="00AD6729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Due Dates for Submission: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3249"/>
                                <w:gridCol w:w="6549"/>
                              </w:tblGrid>
                              <w:tr w:rsidR="00E81B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:rsidR="00E81B00" w:rsidRDefault="00E81B00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Abstracts:</w:t>
                                    </w:r>
                                  </w:p>
                                </w:tc>
                                <w:tc>
                                  <w:tcPr>
                                    <w:tcW w:w="3350" w:type="pct"/>
                                    <w:vAlign w:val="center"/>
                                    <w:hideMark/>
                                  </w:tcPr>
                                  <w:p w:rsidR="00E81B00" w:rsidRDefault="003345D7" w:rsidP="00FD19F7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       </w:t>
                                    </w:r>
                                    <w:r w:rsidR="00E812C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  <w:r w:rsidR="00603710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November </w:t>
                                    </w:r>
                                    <w:r w:rsidR="00FD19F7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="00E81B00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, 20</w:t>
                                    </w:r>
                                    <w:r w:rsidR="005C02F7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FD19F7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E81B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7E1050" w:rsidP="00B5278B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Presentation,</w:t>
                                    </w:r>
                                    <w:r w:rsidR="006717F2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Videos</w:t>
                                    </w:r>
                                    <w:r w:rsidR="00B5278B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, Bios, and Full Papers</w:t>
                                    </w:r>
                                    <w:r w:rsidR="00FC2561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3345D7" w:rsidP="00FD19F7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="00E812C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FD19F7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January 22</w:t>
                                    </w:r>
                                    <w:r w:rsidR="00E81B00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, 20</w:t>
                                    </w:r>
                                    <w:r w:rsidR="00972584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FD19F7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81B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E81B00"/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E81B00" w:rsidP="003345D7"/>
                                </w:tc>
                              </w:tr>
                              <w:tr w:rsidR="00E81B00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E81B00" w:rsidP="00E812C6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Student</w:t>
                                    </w:r>
                                    <w:r w:rsidR="00CC04FB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Poster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812C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Presentations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81B00" w:rsidRDefault="003345D7" w:rsidP="003841B6"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="00E812C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56F23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 xml:space="preserve">January </w:t>
                                    </w:r>
                                    <w:r w:rsidR="003841B6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  <w:r w:rsidR="00B56F23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, 20</w:t>
                                    </w:r>
                                    <w:r w:rsidR="00972584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5F2644">
                                      <w:rPr>
                                        <w:rFonts w:ascii="Verdana" w:hAnsi="Verdana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5349A3" w:rsidRDefault="005349A3" w:rsidP="009B71E8">
                              <w:pPr>
                                <w:pStyle w:val="NormalWeb"/>
                                <w:jc w:val="both"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Speaks should submit abstracts initially for consideration to be a speaker</w:t>
                              </w:r>
                              <w:r w:rsidR="002542D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through the submission portal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.  If accepted</w:t>
                              </w:r>
                              <w:r w:rsidR="004B6EBC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speakers </w:t>
                              </w:r>
                              <w:r w:rsidR="004B6EBC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will eventually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submit 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2662A1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PDF or PPT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copy of their </w:t>
                              </w:r>
                              <w:r w:rsidR="009B71E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presentation</w:t>
                              </w:r>
                              <w:r w:rsidR="00B55196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, a bio, 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and a video of their presentation (</w:t>
                              </w:r>
                              <w:r w:rsidR="009B71E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mp4 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voice over of a Power</w:t>
                              </w:r>
                              <w:r w:rsidR="00F45132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oint presentation or Zoom mp4 video copy of their presentation).  </w:t>
                              </w:r>
                              <w:r w:rsidR="00327414" w:rsidRPr="00B5278B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A full paper </w:t>
                              </w:r>
                              <w:r w:rsidR="00943734" w:rsidRPr="00B5278B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will be</w:t>
                              </w:r>
                              <w:r w:rsidR="00327414" w:rsidRPr="00B5278B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 optional</w:t>
                              </w:r>
                              <w:r w:rsidR="00327414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</w:p>
                            <w:p w:rsidR="005F2644" w:rsidRDefault="00E81B00" w:rsidP="005F2644">
                              <w:pPr>
                                <w:pStyle w:val="NormalWeb"/>
                                <w:jc w:val="both"/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="00F36254"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apply to be a speaker, </w:t>
                              </w:r>
                              <w:r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submit a</w:t>
                              </w:r>
                              <w:r w:rsidR="00886F9F"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n abstract</w:t>
                              </w:r>
                              <w:r w:rsidR="00F36254"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 by</w:t>
                              </w:r>
                              <w:r w:rsidR="00886F9F" w:rsidRPr="003841B6">
                                <w:rPr>
                                  <w:rFonts w:ascii="Verdana" w:hAnsi="Verdana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7" w:history="1">
                                <w:r w:rsidR="00886F9F" w:rsidRPr="003841B6">
                                  <w:rPr>
                                    <w:rStyle w:val="Hyperlink"/>
                                    <w:rFonts w:ascii="Verdana" w:hAnsi="Verdana"/>
                                    <w:b/>
                                  </w:rPr>
                                  <w:t>click</w:t>
                                </w:r>
                                <w:r w:rsidR="00F36254" w:rsidRPr="003841B6">
                                  <w:rPr>
                                    <w:rStyle w:val="Hyperlink"/>
                                    <w:rFonts w:ascii="Verdana" w:hAnsi="Verdana"/>
                                    <w:b/>
                                  </w:rPr>
                                  <w:t>ing</w:t>
                                </w:r>
                                <w:r w:rsidR="00886F9F" w:rsidRPr="003841B6">
                                  <w:rPr>
                                    <w:rStyle w:val="Hyperlink"/>
                                    <w:rFonts w:ascii="Verdana" w:hAnsi="Verdana"/>
                                    <w:b/>
                                  </w:rPr>
                                  <w:t xml:space="preserve"> here</w:t>
                                </w:r>
                              </w:hyperlink>
                              <w:r w:rsidR="00886F9F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or</w:t>
                              </w:r>
                              <w:r w:rsidR="00B90C3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56F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contac</w:t>
                              </w:r>
                              <w:r w:rsidR="00D77623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t the conference program chair, </w:t>
                              </w:r>
                              <w:hyperlink r:id="rId8" w:history="1">
                                <w:r w:rsidR="00FD19F7" w:rsidRPr="00785A00">
                                  <w:rPr>
                                    <w:rStyle w:val="Hyperlink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Preston McDaniel</w:t>
                                </w:r>
                              </w:hyperlink>
                              <w:r w:rsidR="009B71E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.  Speakers will receive free registration to the</w:t>
                              </w:r>
                              <w:r w:rsidR="004B6EBC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entire</w:t>
                              </w:r>
                              <w:r w:rsidR="009B71E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conference. </w:t>
                              </w:r>
                              <w:r w:rsidR="00F848E7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Talks </w:t>
                              </w:r>
                              <w:r w:rsidR="005314AB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="00F848E7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be </w:t>
                              </w:r>
                              <w:r w:rsidR="003E59B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20-25</w:t>
                              </w:r>
                              <w:r w:rsidR="00F848E7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minutes </w:t>
                              </w:r>
                              <w:r w:rsidR="003E59B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(30 minutes total including</w:t>
                              </w:r>
                              <w:r w:rsidR="00F848E7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questions and answers</w:t>
                              </w:r>
                              <w:r w:rsidR="003E59B0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F848E7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E81B00" w:rsidRDefault="001302A3" w:rsidP="003841B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r w:rsidR="005F2644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more</w:t>
                              </w:r>
                              <w:r w:rsidR="009B71E8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672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information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D672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>go to</w:t>
                              </w:r>
                              <w:r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 w:rsidR="003841B6" w:rsidRPr="002F03FC">
                                  <w:rPr>
                                    <w:rStyle w:val="Hyperlink"/>
                                    <w:rFonts w:ascii="Verdana" w:hAnsi="Verdana"/>
                                    <w:b/>
                                  </w:rPr>
                                  <w:t>www.PolyolefinsConference.org</w:t>
                                </w:r>
                              </w:hyperlink>
                              <w:r w:rsidR="00AD6729">
                                <w:rPr>
                                  <w:rFonts w:ascii="Verdana" w:hAnsi="Verdan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1B00" w:rsidTr="00B152FA">
                          <w:trPr>
                            <w:tblCellSpacing w:w="0" w:type="dxa"/>
                          </w:trPr>
                          <w:tc>
                            <w:tcPr>
                              <w:tcW w:w="9798" w:type="dxa"/>
                              <w:hideMark/>
                            </w:tcPr>
                            <w:p w:rsidR="00E81B00" w:rsidRDefault="00E81B00"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E81B00" w:rsidTr="00B152FA">
                          <w:trPr>
                            <w:tblCellSpacing w:w="0" w:type="dxa"/>
                          </w:trPr>
                          <w:tc>
                            <w:tcPr>
                              <w:tcW w:w="9798" w:type="dxa"/>
                              <w:hideMark/>
                            </w:tcPr>
                            <w:p w:rsidR="00E81B00" w:rsidRDefault="00E81B00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E81B00" w:rsidRDefault="00E81B0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E81B00" w:rsidRDefault="00E81B0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81B00" w:rsidRDefault="00E81B00">
            <w:pPr>
              <w:rPr>
                <w:rFonts w:asciiTheme="minorHAnsi" w:hAnsiTheme="minorHAnsi"/>
              </w:rPr>
            </w:pPr>
          </w:p>
        </w:tc>
      </w:tr>
    </w:tbl>
    <w:p w:rsidR="006E2583" w:rsidRDefault="006E2583" w:rsidP="00886F9F"/>
    <w:sectPr w:rsidR="006E2583" w:rsidSect="0080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378"/>
    <w:multiLevelType w:val="multilevel"/>
    <w:tmpl w:val="3B7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87C91"/>
    <w:multiLevelType w:val="multilevel"/>
    <w:tmpl w:val="4B0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253AF"/>
    <w:multiLevelType w:val="multilevel"/>
    <w:tmpl w:val="5BF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26097"/>
    <w:multiLevelType w:val="multilevel"/>
    <w:tmpl w:val="82E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1B00"/>
    <w:rsid w:val="0004070C"/>
    <w:rsid w:val="0004202A"/>
    <w:rsid w:val="00043E1C"/>
    <w:rsid w:val="0004570B"/>
    <w:rsid w:val="00056CF7"/>
    <w:rsid w:val="0006664D"/>
    <w:rsid w:val="0007104C"/>
    <w:rsid w:val="00072C92"/>
    <w:rsid w:val="000C163F"/>
    <w:rsid w:val="000D40BC"/>
    <w:rsid w:val="001302A3"/>
    <w:rsid w:val="00131A9B"/>
    <w:rsid w:val="00133637"/>
    <w:rsid w:val="00172837"/>
    <w:rsid w:val="00175A91"/>
    <w:rsid w:val="00196555"/>
    <w:rsid w:val="001A42FD"/>
    <w:rsid w:val="00200860"/>
    <w:rsid w:val="00212650"/>
    <w:rsid w:val="00232D8F"/>
    <w:rsid w:val="00236599"/>
    <w:rsid w:val="00245846"/>
    <w:rsid w:val="002542DF"/>
    <w:rsid w:val="00263DDF"/>
    <w:rsid w:val="002662A1"/>
    <w:rsid w:val="0028635F"/>
    <w:rsid w:val="00291F48"/>
    <w:rsid w:val="002A3827"/>
    <w:rsid w:val="002B053F"/>
    <w:rsid w:val="002C361E"/>
    <w:rsid w:val="002C4154"/>
    <w:rsid w:val="002D075F"/>
    <w:rsid w:val="002E535F"/>
    <w:rsid w:val="002E71BB"/>
    <w:rsid w:val="00306B69"/>
    <w:rsid w:val="003232F3"/>
    <w:rsid w:val="00327414"/>
    <w:rsid w:val="00332333"/>
    <w:rsid w:val="003345D7"/>
    <w:rsid w:val="00342CE0"/>
    <w:rsid w:val="00344AD3"/>
    <w:rsid w:val="0035292B"/>
    <w:rsid w:val="00377A1B"/>
    <w:rsid w:val="003841B6"/>
    <w:rsid w:val="00386B06"/>
    <w:rsid w:val="003909E5"/>
    <w:rsid w:val="00391E2D"/>
    <w:rsid w:val="003934F2"/>
    <w:rsid w:val="00394C5E"/>
    <w:rsid w:val="0039625D"/>
    <w:rsid w:val="003B6F31"/>
    <w:rsid w:val="003D196A"/>
    <w:rsid w:val="003E59B0"/>
    <w:rsid w:val="00440455"/>
    <w:rsid w:val="004673F2"/>
    <w:rsid w:val="004730FE"/>
    <w:rsid w:val="0048772A"/>
    <w:rsid w:val="004A6A17"/>
    <w:rsid w:val="004B145F"/>
    <w:rsid w:val="004B6EBC"/>
    <w:rsid w:val="004B7D15"/>
    <w:rsid w:val="004D1276"/>
    <w:rsid w:val="004E0530"/>
    <w:rsid w:val="004F30AA"/>
    <w:rsid w:val="004F6A0F"/>
    <w:rsid w:val="00505E15"/>
    <w:rsid w:val="005061C5"/>
    <w:rsid w:val="005153E7"/>
    <w:rsid w:val="005179A0"/>
    <w:rsid w:val="005250C8"/>
    <w:rsid w:val="005314AB"/>
    <w:rsid w:val="005349A3"/>
    <w:rsid w:val="005579FB"/>
    <w:rsid w:val="005650D8"/>
    <w:rsid w:val="005825D3"/>
    <w:rsid w:val="00585382"/>
    <w:rsid w:val="0058686F"/>
    <w:rsid w:val="005B02A3"/>
    <w:rsid w:val="005B7F4C"/>
    <w:rsid w:val="005C02F7"/>
    <w:rsid w:val="005D7B46"/>
    <w:rsid w:val="005E6D36"/>
    <w:rsid w:val="005F2644"/>
    <w:rsid w:val="00603710"/>
    <w:rsid w:val="00631242"/>
    <w:rsid w:val="00653AC6"/>
    <w:rsid w:val="00664466"/>
    <w:rsid w:val="006717F2"/>
    <w:rsid w:val="0067293F"/>
    <w:rsid w:val="006763C3"/>
    <w:rsid w:val="00692ACD"/>
    <w:rsid w:val="006A0764"/>
    <w:rsid w:val="006B319F"/>
    <w:rsid w:val="006B4111"/>
    <w:rsid w:val="006E2583"/>
    <w:rsid w:val="006E7492"/>
    <w:rsid w:val="006F6A0A"/>
    <w:rsid w:val="00706796"/>
    <w:rsid w:val="00714F31"/>
    <w:rsid w:val="007309E3"/>
    <w:rsid w:val="007546BC"/>
    <w:rsid w:val="00756621"/>
    <w:rsid w:val="00757074"/>
    <w:rsid w:val="0077472A"/>
    <w:rsid w:val="00785A00"/>
    <w:rsid w:val="007A6817"/>
    <w:rsid w:val="007C1375"/>
    <w:rsid w:val="007E1050"/>
    <w:rsid w:val="007E676E"/>
    <w:rsid w:val="007F745F"/>
    <w:rsid w:val="00801DF9"/>
    <w:rsid w:val="00802061"/>
    <w:rsid w:val="0081541F"/>
    <w:rsid w:val="00825D51"/>
    <w:rsid w:val="00860153"/>
    <w:rsid w:val="008720C0"/>
    <w:rsid w:val="00872678"/>
    <w:rsid w:val="0087419C"/>
    <w:rsid w:val="00874206"/>
    <w:rsid w:val="00886F9F"/>
    <w:rsid w:val="008A45F1"/>
    <w:rsid w:val="008C1B67"/>
    <w:rsid w:val="008D39FF"/>
    <w:rsid w:val="008E0B79"/>
    <w:rsid w:val="008E5515"/>
    <w:rsid w:val="008F078D"/>
    <w:rsid w:val="008F4086"/>
    <w:rsid w:val="00943734"/>
    <w:rsid w:val="00952B2C"/>
    <w:rsid w:val="009566D8"/>
    <w:rsid w:val="00962BAD"/>
    <w:rsid w:val="00972584"/>
    <w:rsid w:val="00982570"/>
    <w:rsid w:val="00990829"/>
    <w:rsid w:val="009A7C7B"/>
    <w:rsid w:val="009B496D"/>
    <w:rsid w:val="009B71E8"/>
    <w:rsid w:val="009D1186"/>
    <w:rsid w:val="009D319C"/>
    <w:rsid w:val="009F3518"/>
    <w:rsid w:val="009F459D"/>
    <w:rsid w:val="00A03AED"/>
    <w:rsid w:val="00A03E3F"/>
    <w:rsid w:val="00A0787C"/>
    <w:rsid w:val="00A14381"/>
    <w:rsid w:val="00A176B6"/>
    <w:rsid w:val="00A22183"/>
    <w:rsid w:val="00A32A01"/>
    <w:rsid w:val="00A34192"/>
    <w:rsid w:val="00A4637F"/>
    <w:rsid w:val="00A47E80"/>
    <w:rsid w:val="00A52A3F"/>
    <w:rsid w:val="00A66E3E"/>
    <w:rsid w:val="00A71C05"/>
    <w:rsid w:val="00A8401C"/>
    <w:rsid w:val="00AA218F"/>
    <w:rsid w:val="00AA37A0"/>
    <w:rsid w:val="00AB6618"/>
    <w:rsid w:val="00AC3847"/>
    <w:rsid w:val="00AD6729"/>
    <w:rsid w:val="00AD6BD9"/>
    <w:rsid w:val="00AE2777"/>
    <w:rsid w:val="00AF08DA"/>
    <w:rsid w:val="00B152FA"/>
    <w:rsid w:val="00B25585"/>
    <w:rsid w:val="00B4140F"/>
    <w:rsid w:val="00B41648"/>
    <w:rsid w:val="00B444CD"/>
    <w:rsid w:val="00B46801"/>
    <w:rsid w:val="00B478D2"/>
    <w:rsid w:val="00B5278B"/>
    <w:rsid w:val="00B55196"/>
    <w:rsid w:val="00B56F23"/>
    <w:rsid w:val="00B63CE9"/>
    <w:rsid w:val="00B75474"/>
    <w:rsid w:val="00B77835"/>
    <w:rsid w:val="00B90C33"/>
    <w:rsid w:val="00BA4661"/>
    <w:rsid w:val="00BA4C40"/>
    <w:rsid w:val="00BA6373"/>
    <w:rsid w:val="00BB57E7"/>
    <w:rsid w:val="00BD6727"/>
    <w:rsid w:val="00C130F2"/>
    <w:rsid w:val="00C36C43"/>
    <w:rsid w:val="00C37C4D"/>
    <w:rsid w:val="00C74327"/>
    <w:rsid w:val="00C81557"/>
    <w:rsid w:val="00C86958"/>
    <w:rsid w:val="00C97E11"/>
    <w:rsid w:val="00CC04FB"/>
    <w:rsid w:val="00CC0CD3"/>
    <w:rsid w:val="00CC491D"/>
    <w:rsid w:val="00CE4909"/>
    <w:rsid w:val="00CE6C35"/>
    <w:rsid w:val="00CF7F76"/>
    <w:rsid w:val="00D045F2"/>
    <w:rsid w:val="00D26089"/>
    <w:rsid w:val="00D3543A"/>
    <w:rsid w:val="00D35BEB"/>
    <w:rsid w:val="00D36C18"/>
    <w:rsid w:val="00D77623"/>
    <w:rsid w:val="00D83FC7"/>
    <w:rsid w:val="00D904AC"/>
    <w:rsid w:val="00DA0924"/>
    <w:rsid w:val="00DB64DF"/>
    <w:rsid w:val="00DB6F79"/>
    <w:rsid w:val="00DD08EB"/>
    <w:rsid w:val="00DD4829"/>
    <w:rsid w:val="00DE1041"/>
    <w:rsid w:val="00DF3C5B"/>
    <w:rsid w:val="00E1020C"/>
    <w:rsid w:val="00E15C56"/>
    <w:rsid w:val="00E15F49"/>
    <w:rsid w:val="00E270F2"/>
    <w:rsid w:val="00E812C6"/>
    <w:rsid w:val="00E81B00"/>
    <w:rsid w:val="00EA1F6B"/>
    <w:rsid w:val="00EB19DB"/>
    <w:rsid w:val="00EB719D"/>
    <w:rsid w:val="00EC1713"/>
    <w:rsid w:val="00ED7E71"/>
    <w:rsid w:val="00EE1DE9"/>
    <w:rsid w:val="00EF255A"/>
    <w:rsid w:val="00EF5523"/>
    <w:rsid w:val="00F06F8A"/>
    <w:rsid w:val="00F20148"/>
    <w:rsid w:val="00F339AF"/>
    <w:rsid w:val="00F36254"/>
    <w:rsid w:val="00F43D84"/>
    <w:rsid w:val="00F44CCF"/>
    <w:rsid w:val="00F45132"/>
    <w:rsid w:val="00F60F41"/>
    <w:rsid w:val="00F848E7"/>
    <w:rsid w:val="00F968BC"/>
    <w:rsid w:val="00F977A4"/>
    <w:rsid w:val="00FC1799"/>
    <w:rsid w:val="00FC2561"/>
    <w:rsid w:val="00FD19F7"/>
    <w:rsid w:val="00FD5D5A"/>
    <w:rsid w:val="00FF2090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B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1B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1B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7C4D"/>
    <w:rPr>
      <w:color w:val="800080" w:themeColor="followedHyperlink"/>
      <w:u w:val="single"/>
    </w:rPr>
  </w:style>
  <w:style w:type="paragraph" w:customStyle="1" w:styleId="yiv6615877717msonormal">
    <w:name w:val="yiv6615877717msonormal"/>
    <w:basedOn w:val="Normal"/>
    <w:rsid w:val="00263DDF"/>
    <w:pPr>
      <w:spacing w:before="100" w:beforeAutospacing="1" w:after="100" w:afterAutospacing="1"/>
    </w:pPr>
    <w:rPr>
      <w:rFonts w:eastAsia="Times New Roman"/>
    </w:rPr>
  </w:style>
  <w:style w:type="paragraph" w:customStyle="1" w:styleId="yiv1748895135msonormal">
    <w:name w:val="yiv1748895135msonormal"/>
    <w:basedOn w:val="Normal"/>
    <w:rsid w:val="006F6A0A"/>
    <w:pPr>
      <w:spacing w:before="100" w:beforeAutospacing="1" w:after="100" w:afterAutospacing="1"/>
    </w:pPr>
    <w:rPr>
      <w:rFonts w:eastAsia="Times New Roman"/>
    </w:rPr>
  </w:style>
  <w:style w:type="character" w:customStyle="1" w:styleId="yiv1748895135">
    <w:name w:val="yiv1748895135"/>
    <w:basedOn w:val="DefaultParagraphFont"/>
    <w:rsid w:val="006F6A0A"/>
  </w:style>
  <w:style w:type="paragraph" w:customStyle="1" w:styleId="yiv3243083096msonormal">
    <w:name w:val="yiv3243083096msonormal"/>
    <w:basedOn w:val="Normal"/>
    <w:rsid w:val="003274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Daniel@dow.com?subject=Speaker%20for%20SPE%20International%20Polyolefins%20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edloop.com/IPOC2024/proposal/start/?call=CAL28VFRU8UM2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yolefins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Hansen</dc:creator>
  <cp:lastModifiedBy>David Hansen</cp:lastModifiedBy>
  <cp:revision>10</cp:revision>
  <cp:lastPrinted>2020-09-16T18:21:00Z</cp:lastPrinted>
  <dcterms:created xsi:type="dcterms:W3CDTF">2023-08-23T14:46:00Z</dcterms:created>
  <dcterms:modified xsi:type="dcterms:W3CDTF">2023-09-19T20:31:00Z</dcterms:modified>
</cp:coreProperties>
</file>